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 州 市 政 府 采 购</w:t>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sz w:val="26"/>
          <w:szCs w:val="26"/>
          <w:shd w:val="clear" w:color="auto" w:fill="ffffff"/>
        </w:rPr>
      </w:r>
      <w:r/>
    </w:p>
    <w:p>
      <w:pPr>
        <w:pStyle w:val="1033"/>
        <w:ind w:firstLine="0"/>
        <w:jc w:val="center"/>
        <w:spacing w:line="360" w:lineRule="auto"/>
        <w:rPr>
          <w:rFonts w:hint="eastAsia" w:ascii="宋体" w:hAnsi="宋体" w:cs="宋体"/>
        </w:rPr>
      </w:pPr>
      <w:r>
        <w:rPr>
          <w:rFonts w:hint="eastAsia" w:ascii="宋体" w:hAnsi="宋体" w:cs="宋体"/>
        </w:rPr>
      </w:r>
      <w:r/>
    </w:p>
    <w:p>
      <w:pPr>
        <w:ind w:firstLine="1928"/>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w:t>
      </w:r>
      <w:r>
        <w:rPr>
          <w:rFonts w:ascii="宋体" w:hAnsi="宋体" w:eastAsia="宋体" w:cs="宋体"/>
          <w:b/>
          <w:bCs/>
          <w:sz w:val="32"/>
          <w:szCs w:val="20"/>
          <w:shd w:val="clear" w:color="auto" w:fill="ffffff"/>
        </w:rPr>
        <w:t xml:space="preserve">JSZC-320500-SZCH-G2025-0109</w:t>
      </w:r>
      <w:r/>
    </w:p>
    <w:p>
      <w:pPr>
        <w:ind w:firstLine="1928"/>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人：苏州市虎丘山风景名胜区管理处</w:t>
      </w:r>
      <w:r/>
    </w:p>
    <w:p>
      <w:pPr>
        <w:ind w:firstLine="1928"/>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采购内容：2026年度日常环境布置用花</w:t>
      </w:r>
      <w:r/>
    </w:p>
    <w:p>
      <w:pPr>
        <w:ind w:firstLine="1928"/>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采购类别：服务类</w:t>
      </w:r>
      <w:r/>
    </w:p>
    <w:p>
      <w:pPr>
        <w:pStyle w:val="1023"/>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9"/>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9" o:title=""/>
              </v:shape>
            </w:pict>
          </mc:Fallback>
        </mc:AlternateContent>
      </w:r>
      <w:r/>
    </w:p>
    <w:p>
      <w:pPr>
        <w:pStyle w:val="1023"/>
        <w:ind w:left="0" w:firstLine="0"/>
        <w:jc w:val="center"/>
        <w:rPr>
          <w:rFonts w:hint="eastAsia" w:ascii="宋体" w:hAnsi="宋体" w:eastAsia="宋体" w:cs="宋体"/>
        </w:rPr>
      </w:pPr>
      <w:r>
        <w:rPr>
          <w:rFonts w:hint="eastAsia" w:ascii="宋体" w:hAnsi="宋体" w:eastAsia="宋体" w:cs="宋体"/>
        </w:rPr>
      </w:r>
      <w:r/>
    </w:p>
    <w:p>
      <w:pPr>
        <w:pStyle w:val="1023"/>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hint="eastAsia"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二○二五年十二月</w:t>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94"/>
        <w:gridCol w:w="9014"/>
      </w:tblGrid>
      <w:tr>
        <w:trPr>
          <w:jc w:val="center"/>
          <w:trHeight w:val="378"/>
        </w:trPr>
        <w:tc>
          <w:tcPr>
            <w:tcW w:w="79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901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Height w:val="350"/>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采购内容：2026年度日常环境布置用花</w:t>
            </w:r>
            <w:r/>
          </w:p>
        </w:tc>
      </w:tr>
      <w:tr>
        <w:trPr>
          <w:jc w:val="center"/>
          <w:trHeight w:val="3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39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不需提交，招标文件中有关投标（响应）保证金的规定均不适用。</w:t>
            </w:r>
            <w:r/>
          </w:p>
          <w:p>
            <w:pPr>
              <w:pStyle w:val="991"/>
              <w:ind w:left="0"/>
              <w:spacing w:line="240" w:lineRule="auto"/>
              <w:rPr>
                <w:rFonts w:hint="eastAsia" w:ascii="宋体" w:hAnsi="宋体" w:eastAsia="宋体" w:cs="宋体"/>
                <w:szCs w:val="24"/>
              </w:rPr>
            </w:pPr>
            <w:r>
              <w:rPr>
                <w:rFonts w:ascii="Wingdings" w:hAnsi="Wingdings" w:eastAsia="Wingdings" w:cs="Wingdings"/>
                <w:szCs w:val="24"/>
                <w:shd w:val="clear" w:color="auto" w:fill="ffffff"/>
              </w:rPr>
              <w:t xml:space="preserve">¨</w:t>
            </w:r>
            <w:r>
              <w:rPr>
                <w:rFonts w:hint="eastAsia" w:ascii="宋体" w:hAnsi="宋体" w:eastAsia="宋体" w:cs="宋体"/>
                <w:szCs w:val="24"/>
                <w:shd w:val="clear" w:color="auto" w:fill="ffffff"/>
              </w:rPr>
              <w:t xml:space="preserve">需提交，投标（响应）保证金金额： 元整。</w:t>
            </w:r>
            <w:r/>
          </w:p>
        </w:tc>
      </w:tr>
      <w:tr>
        <w:trPr>
          <w:jc w:val="center"/>
          <w:trHeight w:val="51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90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Height w:val="45"/>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9014" w:type="dxa"/>
            <w:vAlign w:val="center"/>
            <w:textDirection w:val="lrTb"/>
            <w:noWrap w:val="false"/>
          </w:tcPr>
          <w:p>
            <w:pPr>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开标信息</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投标（响应）截止时间：2025年12月26日13点30分（北京时间）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开标时间：2025年12月26日13点30分（北京时间）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开标地点：“苏采云”系统（网址：http://jszfcg.jsczt.cn/）</w:t>
            </w:r>
            <w:r/>
          </w:p>
          <w:p>
            <w:pPr>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9014" w:type="dxa"/>
            <w:vAlign w:val="center"/>
            <w:textDirection w:val="lrTb"/>
            <w:noWrap w:val="false"/>
          </w:tcPr>
          <w:p>
            <w:pPr>
              <w:ind w:right="-159"/>
              <w:jc w:val="lef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shd w:val="clear" w:color="auto" w:fill="ffffff"/>
              </w:rPr>
              <w:t xml:space="preserve">不需提交，招标文件中有关履约保证金的规定均不适用。</w:t>
            </w:r>
            <w:r/>
          </w:p>
          <w:p>
            <w:pPr>
              <w:ind w:right="-159"/>
              <w:jc w:val="left"/>
              <w:widowControl/>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需提交，中标金额的10%。（可提供符合《关于在全省政府采购领域推行电子履约保函(保险)的通知》（苏财购[2023]150号）要求的电子履约保函）</w:t>
            </w:r>
            <w:r/>
          </w:p>
        </w:tc>
      </w:tr>
      <w:tr>
        <w:trPr>
          <w:jc w:val="center"/>
          <w:trHeight w:val="3711"/>
        </w:trPr>
        <w:tc>
          <w:tcPr>
            <w:tcW w:w="794" w:type="dxa"/>
            <w:vAlign w:val="center"/>
            <w:textDirection w:val="lrTb"/>
            <w:noWrap w:val="false"/>
          </w:tcPr>
          <w:p>
            <w:pPr>
              <w:ind w:right="18"/>
              <w:jc w:val="center"/>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14" w:type="dxa"/>
            <w:vAlign w:val="center"/>
            <w:textDirection w:val="lrTb"/>
            <w:noWrap w:val="false"/>
          </w:tcPr>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代理服务费收费标准：代理服务费收费按以下标准的</w:t>
            </w:r>
            <w:r>
              <w:rPr>
                <w:rFonts w:hint="eastAsia" w:ascii="宋体" w:hAnsi="宋体" w:eastAsia="宋体" w:cs="宋体"/>
                <w:sz w:val="24"/>
                <w:szCs w:val="24"/>
                <w:u w:val="single"/>
              </w:rPr>
              <w:t xml:space="preserve"> 100 %</w:t>
            </w:r>
            <w:r>
              <w:rPr>
                <w:rFonts w:hint="eastAsia" w:ascii="宋体" w:hAnsi="宋体" w:eastAsia="宋体" w:cs="宋体"/>
                <w:sz w:val="24"/>
                <w:szCs w:val="24"/>
              </w:rPr>
              <w:t xml:space="preserve">收取：</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成交通知书时成交人向采购代理机构一次性付清。</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服务费账号：8314122601346</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开户行：上海浦东发展银行苏州分行沧浪支行</w:t>
            </w:r>
            <w:r/>
          </w:p>
        </w:tc>
      </w:tr>
      <w:tr>
        <w:trPr>
          <w:jc w:val="center"/>
          <w:trHeight w:val="57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0512-68616651</w:t>
            </w:r>
            <w:r/>
          </w:p>
        </w:tc>
      </w:tr>
    </w:tbl>
    <w:p>
      <w:pPr>
        <w:jc w:val="center"/>
        <w:spacing w:line="360" w:lineRule="auto"/>
        <w:rPr>
          <w:rFonts w:hint="eastAsia"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r>
      <w:r/>
    </w:p>
    <w:p>
      <w:pPr>
        <w:jc w:val="center"/>
        <w:spacing w:line="360" w:lineRule="auto"/>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center"/>
        <w:spacing w:line="360" w:lineRule="auto"/>
        <w:tabs>
          <w:tab w:val="right" w:pos="9022" w:leader="dot"/>
        </w:tabs>
        <w:rPr>
          <w:rFonts w:hint="eastAsia"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center"/>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第二章供应商须知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center"/>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第三章投标文件格式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24</w:t>
      </w:r>
      <w:r>
        <w:rPr>
          <w:rFonts w:hint="eastAsia" w:ascii="宋体" w:hAnsi="宋体" w:eastAsia="宋体" w:cs="宋体"/>
          <w:sz w:val="24"/>
          <w:szCs w:val="20"/>
        </w:rPr>
        <w:fldChar w:fldCharType="end"/>
      </w:r>
      <w:r/>
    </w:p>
    <w:p>
      <w:pPr>
        <w:jc w:val="center"/>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第四章招标书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39</w:t>
      </w:r>
      <w:r>
        <w:rPr>
          <w:rFonts w:hint="eastAsia" w:ascii="宋体" w:hAnsi="宋体" w:eastAsia="宋体" w:cs="宋体"/>
          <w:sz w:val="24"/>
          <w:szCs w:val="20"/>
        </w:rPr>
        <w:fldChar w:fldCharType="end"/>
      </w:r>
      <w:r/>
    </w:p>
    <w:p>
      <w:pPr>
        <w:jc w:val="center"/>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第五章合同主要条款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54</w:t>
      </w:r>
      <w:r>
        <w:rPr>
          <w:rFonts w:hint="eastAsia" w:ascii="宋体" w:hAnsi="宋体" w:eastAsia="宋体" w:cs="宋体"/>
          <w:sz w:val="24"/>
          <w:szCs w:val="20"/>
        </w:rPr>
        <w:fldChar w:fldCharType="end"/>
      </w:r>
      <w:r/>
    </w:p>
    <w:p>
      <w:pPr>
        <w:jc w:val="center"/>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第六章评分标准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59</w:t>
      </w:r>
      <w:r>
        <w:rPr>
          <w:rFonts w:hint="eastAsia" w:ascii="宋体" w:hAnsi="宋体" w:eastAsia="宋体" w:cs="宋体"/>
          <w:sz w:val="24"/>
          <w:szCs w:val="20"/>
        </w:rPr>
        <w:fldChar w:fldCharType="end"/>
      </w:r>
      <w:r/>
    </w:p>
    <w:p>
      <w:pPr>
        <w:jc w:val="center"/>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第七章附件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63</w:t>
      </w:r>
      <w:r>
        <w:rPr>
          <w:rFonts w:hint="eastAsia" w:ascii="宋体" w:hAnsi="宋体" w:eastAsia="宋体" w:cs="宋体"/>
          <w:sz w:val="24"/>
          <w:szCs w:val="20"/>
        </w:rPr>
        <w:fldChar w:fldCharType="end"/>
      </w:r>
      <w:r/>
    </w:p>
    <w:p>
      <w:pPr>
        <w:jc w:val="center"/>
        <w:spacing w:line="360" w:lineRule="auto"/>
        <w:rPr>
          <w:rFonts w:hint="eastAsia" w:ascii="宋体" w:hAnsi="宋体" w:eastAsia="宋体" w:cs="宋体"/>
          <w:sz w:val="24"/>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hint="eastAsia"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Start w:id="1" w:name="_Hlk117242093"/>
      <w:r/>
      <w:bookmarkEnd w:id="0"/>
      <w:r/>
      <w:bookmarkEnd w:id="1"/>
      <w:r/>
      <w:r/>
    </w:p>
    <w:p>
      <w:pPr>
        <w:jc w:val="left"/>
        <w:widowControl/>
        <w:rPr>
          <w:rFonts w:hint="eastAsia" w:ascii="宋体" w:hAnsi="宋体" w:eastAsia="宋体" w:cs="宋体"/>
          <w:b/>
          <w:sz w:val="24"/>
        </w:rPr>
      </w:pPr>
      <w:r>
        <w:rPr>
          <w:rFonts w:hint="eastAsia" w:ascii="宋体" w:hAnsi="宋体" w:eastAsia="宋体" w:cs="宋体"/>
          <w:b/>
          <w:sz w:val="24"/>
        </w:rPr>
        <w:br w:type="page" w:clear="all"/>
      </w:r>
      <w:r/>
    </w:p>
    <w:p>
      <w:pPr>
        <w:ind w:firstLine="482"/>
        <w:spacing w:line="360" w:lineRule="auto"/>
        <w:rPr>
          <w:rFonts w:hint="eastAsia" w:ascii="宋体" w:hAnsi="宋体" w:eastAsia="宋体" w:cs="宋体"/>
          <w:b/>
          <w:sz w:val="24"/>
        </w:rPr>
      </w:pPr>
      <w:r>
        <w:rPr>
          <w:rFonts w:hint="eastAsia" w:ascii="宋体" w:hAnsi="宋体" w:eastAsia="宋体" w:cs="宋体"/>
          <w:b/>
          <w:sz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28"/>
      </w:tblGrid>
      <w:tr>
        <w:trPr>
          <w:jc w:val="center"/>
          <w:trHeight w:val="90"/>
        </w:trPr>
        <w:tc>
          <w:tcPr>
            <w:tcW w:w="5000" w:type="pct"/>
            <w:textDirection w:val="lrTb"/>
            <w:noWrap w:val="false"/>
          </w:tcPr>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hint="eastAsia" w:ascii="宋体" w:hAnsi="宋体" w:eastAsia="宋体" w:cs="宋体"/>
                <w:szCs w:val="21"/>
              </w:rPr>
            </w:pPr>
            <w:r>
              <w:rPr>
                <w:rFonts w:hint="eastAsia" w:ascii="宋体" w:hAnsi="宋体" w:eastAsia="宋体" w:cs="宋体"/>
                <w:sz w:val="24"/>
              </w:rPr>
              <w:t xml:space="preserve">2026年度日常环境布置用花项目</w:t>
            </w:r>
            <w:r>
              <w:rPr>
                <w:rFonts w:ascii="宋体" w:hAnsi="宋体" w:eastAsia="宋体" w:cs="宋体"/>
                <w:sz w:val="24"/>
              </w:rPr>
              <w:t xml:space="preserve">JSZC-320500-SZCH-G2025-0109</w:t>
            </w:r>
            <w:r>
              <w:rPr>
                <w:rFonts w:hint="eastAsia" w:ascii="宋体" w:hAnsi="宋体" w:eastAsia="宋体" w:cs="宋体"/>
                <w:sz w:val="24"/>
              </w:rPr>
              <w:t xml:space="preserve">的潜在投标人应在江苏省政府采购一体化平台“苏采云”系统自行免费下载招标（采购）文件，并于2025年12月26日13点30分（北京时间）前递交投标文件。</w:t>
            </w:r>
            <w:r/>
          </w:p>
        </w:tc>
      </w:tr>
    </w:tbl>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ascii="宋体" w:hAnsi="宋体" w:eastAsia="宋体" w:cs="宋体"/>
          <w:sz w:val="24"/>
        </w:rPr>
        <w:t xml:space="preserve">JSZC-320500-SZCH-G2025-0109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项目名称：2026年度日常环境布置用花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hint="eastAsia" w:ascii="宋体" w:hAnsi="宋体" w:eastAsia="宋体" w:cs="宋体"/>
          <w:sz w:val="24"/>
        </w:rPr>
      </w:pPr>
      <w:r/>
      <w:bookmarkStart w:id="2" w:name="_Hlk193370935"/>
      <w:r>
        <w:rPr>
          <w:rFonts w:hint="eastAsia" w:ascii="宋体" w:hAnsi="宋体" w:eastAsia="宋体" w:cs="宋体"/>
          <w:sz w:val="24"/>
        </w:rPr>
        <w:t xml:space="preserve">预算金额：</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w:t>
      </w:r>
      <w:r>
        <w:rPr>
          <w:rFonts w:hint="eastAsia" w:ascii="宋体" w:hAnsi="宋体" w:eastAsia="宋体" w:cs="宋体"/>
          <w:sz w:val="24"/>
        </w:rPr>
        <w:t xml:space="preserve">壹佰叁拾万元整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人民币（小写）：￥1,300,000.00元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最高限价（如有）：</w:t>
      </w:r>
      <w:bookmarkEnd w:id="2"/>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人民币（大写）：壹佰叁拾万元整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人民币（小写）：￥1,300,000.00元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采购需求：虎丘景区、枫桥景区花境布置、日常主要出入口和节点环境布置、厅堂花卉布置、厕所环境布置及日常养护。具体详见招标文件。</w:t>
      </w:r>
      <w:r/>
    </w:p>
    <w:p>
      <w:pPr>
        <w:ind w:firstLine="480"/>
        <w:spacing w:line="360" w:lineRule="auto"/>
        <w:rPr>
          <w:rFonts w:hint="eastAsia" w:ascii="宋体" w:hAnsi="宋体" w:eastAsia="宋体" w:cs="宋体"/>
          <w:sz w:val="24"/>
          <w:szCs w:val="24"/>
        </w:rPr>
      </w:pPr>
      <w:r/>
      <w:bookmarkStart w:id="3" w:name="_Hlk193370988"/>
      <w:r>
        <w:rPr>
          <w:rFonts w:hint="eastAsia" w:ascii="宋体" w:hAnsi="宋体" w:eastAsia="宋体" w:cs="宋体"/>
          <w:sz w:val="24"/>
          <w:szCs w:val="24"/>
        </w:rPr>
        <w:t xml:space="preserve">合同履行期限：自合同签订之日起至2026年12月31日。</w:t>
      </w:r>
      <w:bookmarkEnd w:id="3"/>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本项目（是/否）接受联合体：</w:t>
      </w:r>
      <w:r>
        <w:rPr>
          <w:rFonts w:hint="eastAsia" w:ascii="宋体" w:hAnsi="宋体" w:eastAsia="宋体" w:cs="宋体"/>
          <w:b/>
          <w:bCs/>
          <w:sz w:val="24"/>
        </w:rPr>
        <w:t xml:space="preserve">否</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985"/>
        <w:ind w:firstLine="480"/>
        <w:spacing w:line="360" w:lineRule="auto"/>
        <w:rPr>
          <w:rFonts w:hint="eastAsia" w:ascii="宋体" w:hAnsi="宋体" w:eastAsia="宋体" w:cs="宋体"/>
          <w:szCs w:val="22"/>
        </w:rPr>
      </w:pPr>
      <w:r/>
      <w:bookmarkStart w:id="4" w:name="_Hlk193371023"/>
      <w:r>
        <w:rPr>
          <w:rFonts w:hint="eastAsia" w:ascii="宋体" w:hAnsi="宋体" w:eastAsia="宋体" w:cs="宋体"/>
          <w:szCs w:val="22"/>
        </w:rPr>
        <w:t xml:space="preserve">1、具有独立承担民事责任的能力。</w:t>
      </w:r>
      <w:r/>
    </w:p>
    <w:p>
      <w:pPr>
        <w:pStyle w:val="985"/>
        <w:ind w:firstLine="480"/>
        <w:spacing w:line="360" w:lineRule="auto"/>
        <w:rPr>
          <w:rFonts w:hint="eastAsia"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985"/>
        <w:ind w:firstLine="480"/>
        <w:spacing w:line="360" w:lineRule="auto"/>
        <w:rPr>
          <w:rFonts w:hint="eastAsia"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985"/>
        <w:ind w:firstLine="480"/>
        <w:spacing w:line="360" w:lineRule="auto"/>
        <w:rPr>
          <w:rFonts w:hint="eastAsia"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985"/>
        <w:ind w:firstLine="480"/>
        <w:spacing w:line="360" w:lineRule="auto"/>
        <w:rPr>
          <w:rFonts w:hint="eastAsia"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w:t>
      </w:r>
      <w:bookmarkEnd w:id="4"/>
      <w:r/>
      <w:r/>
    </w:p>
    <w:p>
      <w:pPr>
        <w:pStyle w:val="1019"/>
        <w:ind w:firstLine="480"/>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p>
    <w:p>
      <w:pPr>
        <w:pStyle w:val="1019"/>
        <w:ind w:firstLine="480"/>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根据《政府采购促进中小企业发展管理办法》的相关规定，本项目专门面向中小企业，供应商应为中小微企业、监狱企业、残疾人福利性单位。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（三）本项目的特定资格要求：</w:t>
      </w:r>
      <w:r/>
    </w:p>
    <w:p>
      <w:pPr>
        <w:pStyle w:val="1019"/>
        <w:ind w:firstLine="480"/>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未被“信用中国”网站（</w:t>
      </w:r>
      <w:hyperlink r:id="rId20" w:tooltip="https://www.creditchina.gov.cn" w:history="1">
        <w:r>
          <w:rPr>
            <w:rFonts w:hint="eastAsia" w:ascii="宋体" w:hAnsi="宋体" w:eastAsia="宋体" w:cs="宋体"/>
          </w:rPr>
          <w:t xml:space="preserve">www.creditchina.gov.cn</w:t>
        </w:r>
      </w:hyperlink>
      <w:r>
        <w:rPr>
          <w:rFonts w:hint="eastAsia" w:ascii="宋体" w:hAnsi="宋体" w:eastAsia="宋体" w:cs="宋体"/>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hint="eastAsia" w:ascii="宋体" w:hAnsi="宋体" w:eastAsia="宋体" w:cs="宋体"/>
          <w:sz w:val="24"/>
          <w:szCs w:val="20"/>
        </w:rPr>
      </w:pPr>
      <w:r/>
      <w:bookmarkStart w:id="5"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4、售价：0.00元</w:t>
      </w:r>
      <w:bookmarkEnd w:id="5"/>
      <w:r/>
      <w:r/>
    </w:p>
    <w:p>
      <w:pPr>
        <w:ind w:firstLine="482"/>
        <w:jc w:val="left"/>
        <w:spacing w:line="360" w:lineRule="auto"/>
        <w:widowControl/>
        <w:rPr>
          <w:rFonts w:hint="eastAsia"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2025年12月26日13点30分（北京时间）</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地点：“苏采云”系统（网址：</w:t>
      </w:r>
      <w:hyperlink r:id="rId21" w:tooltip="http://jszfcg.jsczt.cn/）" w:history="1">
        <w:r>
          <w:rPr>
            <w:rStyle w:val="1028"/>
            <w:rFonts w:hint="eastAsia" w:ascii="宋体" w:hAnsi="宋体" w:eastAsia="宋体" w:cs="宋体"/>
            <w:color w:val="auto"/>
            <w:sz w:val="24"/>
          </w:rPr>
          <w:t xml:space="preserve">http://jszfcg.jsczt.cn/）</w:t>
        </w:r>
      </w:hyperlink>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jc w:val="left"/>
        <w:spacing w:line="360" w:lineRule="auto"/>
        <w:widowControl/>
        <w:rPr>
          <w:rFonts w:hint="eastAsia" w:ascii="宋体" w:hAnsi="宋体" w:eastAsia="宋体" w:cs="宋体"/>
          <w:b/>
          <w:sz w:val="24"/>
        </w:rPr>
      </w:pPr>
      <w:r>
        <w:rPr>
          <w:rFonts w:hint="eastAsia" w:ascii="宋体" w:hAnsi="宋体" w:eastAsia="宋体" w:cs="宋体"/>
          <w:b/>
          <w:sz w:val="24"/>
        </w:rPr>
        <w:t xml:space="preserve">六、其他补充事宜</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sz w:val="24"/>
        </w:rPr>
      </w:pPr>
      <w:r/>
      <w:bookmarkStart w:id="7" w:name="_Hlk193371515"/>
      <w:r>
        <w:rPr>
          <w:rFonts w:hint="eastAsia" w:ascii="宋体" w:hAnsi="宋体" w:eastAsia="宋体" w:cs="宋体"/>
          <w:sz w:val="24"/>
        </w:rPr>
        <w:t xml:space="preserve">4、CA证书办理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w:t>
      </w:r>
      <w:r>
        <w:rPr>
          <w:rFonts w:hint="eastAsia" w:ascii="宋体" w:hAnsi="宋体" w:eastAsia="宋体" w:cs="宋体"/>
          <w:sz w:val="24"/>
        </w:rPr>
        <w:t xml:space="preserve">采云”系统登录界面中的“新CA办理指南”。</w:t>
      </w:r>
      <w:r>
        <w:rPr>
          <w:rFonts w:hint="eastAsia" w:ascii="宋体" w:hAnsi="宋体" w:eastAsia="宋体" w:cs="宋体"/>
          <w:b/>
          <w:sz w:val="24"/>
        </w:rPr>
        <w:t xml:space="preserve">“苏采云”系统目前仅支持“苏采云”系统下的政务CA证书，江苏省内各地区办理的“苏采云”系统下的政务CA证书全省通用。</w:t>
      </w:r>
      <w:r>
        <w:rPr>
          <w:rFonts w:hint="eastAsia" w:ascii="宋体" w:hAnsi="宋体" w:eastAsia="宋体" w:cs="宋体"/>
          <w:sz w:val="24"/>
        </w:rPr>
        <w:t xml:space="preserve">苏州现场办理地址：苏州市高新区邓蔚路105号狮山科技馆一楼服务大厅，电话：</w:t>
      </w:r>
      <w:r>
        <w:rPr>
          <w:rFonts w:ascii="宋体" w:hAnsi="宋体" w:eastAsia="宋体" w:cs="宋体"/>
          <w:sz w:val="24"/>
        </w:rPr>
        <w:t xml:space="preserve">0512</w:t>
      </w:r>
      <w:r>
        <w:rPr>
          <w:rFonts w:hint="eastAsia" w:ascii="宋体" w:hAnsi="宋体" w:eastAsia="宋体" w:cs="宋体"/>
          <w:sz w:val="24"/>
        </w:rPr>
        <w:t xml:space="preserve">-</w:t>
      </w:r>
      <w:r>
        <w:rPr>
          <w:rFonts w:ascii="宋体" w:hAnsi="宋体" w:eastAsia="宋体" w:cs="宋体"/>
          <w:sz w:val="24"/>
        </w:rPr>
        <w:t xml:space="preserve">65737699</w:t>
      </w:r>
      <w:r>
        <w:rPr>
          <w:rFonts w:hint="eastAsia" w:ascii="宋体" w:hAnsi="宋体" w:eastAsia="宋体" w:cs="宋体"/>
          <w:sz w:val="24"/>
        </w:rPr>
        <w:t xml:space="preserve">。</w:t>
      </w:r>
      <w:bookmarkEnd w:id="7"/>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rPr>
      </w:pPr>
      <w:r/>
      <w:bookmarkStart w:id="8" w:name="_Hlk193371550"/>
      <w:r>
        <w:rPr>
          <w:rFonts w:hint="eastAsia" w:ascii="宋体" w:hAnsi="宋体" w:eastAsia="宋体" w:cs="宋体"/>
          <w:sz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7、如不同投标（响应）文件制作机器码一致，则投标（响应）无效。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8、制作电子投标（响应）文件：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rPr>
      </w:pPr>
      <w:r/>
      <w:bookmarkStart w:id="9" w:name="_Hlk193371673"/>
      <w:r>
        <w:rPr>
          <w:rFonts w:hint="eastAsia" w:ascii="宋体" w:hAnsi="宋体" w:eastAsia="宋体" w:cs="宋体"/>
          <w:sz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bookmarkEnd w:id="9"/>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电子签章技术咨询服务电话：15380932027、15371015030、13675197356、13675197221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“苏采云”平台技术咨询电话：0519-86722802、13914088964、18261002950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12、根据《政府采购促进中小企业发展管理办法》（财库〔2020〕46号）及《中小企业</w:t>
      </w:r>
      <w:r>
        <w:rPr>
          <w:rFonts w:hint="eastAsia" w:ascii="宋体" w:hAnsi="宋体" w:eastAsia="宋体" w:cs="宋体"/>
          <w:sz w:val="24"/>
        </w:rPr>
        <w:t xml:space="preserve">划型标准规定》（工信部联企业〔2011〕300号），本采购标的对应的中小企业划分标准所属行业为：其他未列明行业。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13、本项目支持政府采购合同信用融资。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14、政府采购监督电话：</w:t>
      </w:r>
      <w:r>
        <w:rPr>
          <w:rFonts w:ascii="宋体" w:hAnsi="宋体" w:eastAsia="宋体" w:cs="宋体"/>
          <w:sz w:val="24"/>
        </w:rPr>
        <w:t xml:space="preserve">0512-68616651</w:t>
      </w:r>
      <w:r>
        <w:rPr>
          <w:rFonts w:hint="eastAsia" w:ascii="宋体" w:hAnsi="宋体" w:eastAsia="宋体" w:cs="宋体"/>
          <w:sz w:val="24"/>
        </w:rPr>
        <w:t xml:space="preserve">。</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单位名称：苏州市虎丘山风景名胜区管理处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单位地址：苏州市姑苏区虎丘山门内8号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联系人：夏文杰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0512-65579105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联系电话：0512-65161797、0512-65161672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项目联系人：张萱、沈川渝、邬汝超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电话：0512-65161797、0512-65161672</w:t>
      </w:r>
      <w:r>
        <w:rPr>
          <w:rFonts w:hint="eastAsia" w:ascii="宋体" w:hAnsi="宋体" w:eastAsia="宋体" w:cs="宋体"/>
          <w:sz w:val="24"/>
        </w:rPr>
        <w:br w:type="page" w:clear="all"/>
      </w:r>
      <w:r/>
    </w:p>
    <w:p>
      <w:pPr>
        <w:pStyle w:val="991"/>
        <w:rPr>
          <w:rFonts w:hint="eastAsia" w:ascii="宋体" w:hAnsi="宋体" w:eastAsia="宋体" w:cs="宋体"/>
        </w:rPr>
      </w:pPr>
      <w:r>
        <w:rPr>
          <w:rFonts w:hint="eastAsia" w:ascii="宋体" w:hAnsi="宋体" w:eastAsia="宋体" w:cs="宋体"/>
        </w:rPr>
      </w:r>
      <w:r/>
    </w:p>
    <w:p>
      <w:pPr>
        <w:ind w:right="-159" w:firstLine="482"/>
        <w:jc w:val="right"/>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pStyle w:val="992"/>
        <w:rPr>
          <w:rFonts w:hint="default"/>
          <w:shd w:val="clear" w:color="auto" w:fill="ffffff"/>
        </w:rPr>
      </w:pPr>
      <w:r>
        <w:rPr>
          <w:rFonts w:hint="default"/>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10" w:name="_Toc105940238"/>
      <w:r>
        <w:rPr>
          <w:rFonts w:hint="eastAsia" w:ascii="宋体" w:hAnsi="宋体" w:eastAsia="宋体" w:cs="宋体"/>
          <w:b/>
          <w:sz w:val="52"/>
          <w:szCs w:val="20"/>
          <w:shd w:val="clear" w:color="auto" w:fill="ffffff"/>
        </w:rPr>
        <w:t xml:space="preserve">第二章 供应商须知</w:t>
      </w:r>
      <w:bookmarkEnd w:id="10"/>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hint="eastAsia" w:ascii="宋体" w:hAnsi="宋体" w:eastAsia="宋体" w:cs="宋体"/>
          <w:sz w:val="24"/>
          <w:szCs w:val="24"/>
          <w:shd w:val="clear" w:color="auto" w:fill="ffffff"/>
        </w:rPr>
      </w:pPr>
      <w:r/>
      <w:bookmarkStart w:id="11"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5"/>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2.18进口产品：通过中国海关报关验放进入中国境内且产自关境外的产品。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2.19书面形式：指书面文字、合同书、信件和传真等可以有形地表现所载内容的形式。</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2.20核心产品：根据本项目技术构成、产品价格比重等合理确定的产品。</w:t>
      </w:r>
      <w:bookmarkEnd w:id="11"/>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hint="eastAsia" w:ascii="宋体" w:hAnsi="宋体" w:eastAsia="宋体" w:cs="宋体"/>
          <w:sz w:val="24"/>
          <w:szCs w:val="24"/>
          <w:shd w:val="clear" w:color="auto" w:fill="ffffff"/>
        </w:rPr>
      </w:pPr>
      <w:r/>
      <w:bookmarkStart w:id="12" w:name="_Hlk193372108"/>
      <w:r>
        <w:rPr>
          <w:rFonts w:hint="eastAsia" w:ascii="宋体" w:hAnsi="宋体" w:eastAsia="宋体" w:cs="宋体"/>
          <w:sz w:val="24"/>
          <w:szCs w:val="24"/>
          <w:shd w:val="clear" w:color="auto" w:fill="ffffff"/>
        </w:rPr>
        <w:t xml:space="preserve">详见本项目招标公告中的“申请人的资格要求”。</w:t>
      </w:r>
      <w:bookmarkEnd w:id="1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sz w:val="24"/>
          <w:szCs w:val="24"/>
          <w:shd w:val="clear" w:color="auto" w:fill="ffffff"/>
        </w:rPr>
        <w:t xml:space="preserve">详见统一格式</w:t>
      </w:r>
      <w:bookmarkEnd w:id="13"/>
      <w:r>
        <w:rPr>
          <w:rFonts w:hint="eastAsia" w:ascii="宋体" w:hAnsi="宋体" w:eastAsia="宋体" w:cs="宋体"/>
          <w:sz w:val="24"/>
          <w:szCs w:val="24"/>
          <w:shd w:val="clear" w:color="auto" w:fill="ffffff"/>
        </w:rPr>
        <w:t xml:space="preserve">）。</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6.联合投标（响应）</w:t>
      </w:r>
      <w:r/>
    </w:p>
    <w:p>
      <w:pPr>
        <w:ind w:firstLine="480"/>
        <w:spacing w:line="360" w:lineRule="auto"/>
        <w:rPr>
          <w:rFonts w:hint="eastAsia" w:ascii="宋体" w:hAnsi="宋体" w:eastAsia="宋体" w:cs="宋体"/>
          <w:sz w:val="24"/>
          <w:szCs w:val="20"/>
        </w:rPr>
      </w:pPr>
      <w:r/>
      <w:bookmarkStart w:id="14" w:name="_Hlk193372378"/>
      <w:r>
        <w:rPr>
          <w:rFonts w:hint="eastAsia" w:ascii="宋体" w:hAnsi="宋体" w:eastAsia="宋体" w:cs="宋体"/>
          <w:sz w:val="24"/>
          <w:szCs w:val="20"/>
        </w:rPr>
        <w:t xml:space="preserve">6.1本项目不接受联合体投标（响应）。</w:t>
      </w:r>
      <w:bookmarkEnd w:id="14"/>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C.招标文件和投标（响应）文件的说明</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该电子投标（响应）文件将被视为未实质性响应。</w:t>
      </w:r>
      <w:bookmarkEnd w:id="16"/>
      <w:r/>
      <w:r/>
    </w:p>
    <w:p>
      <w:pPr>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bookmarkStart w:id="18" w:name="_Hlk193372773"/>
      <w:r>
        <w:rPr>
          <w:rFonts w:hint="eastAsia" w:ascii="宋体" w:hAnsi="宋体" w:eastAsia="宋体" w:cs="宋体"/>
          <w:b/>
          <w:sz w:val="24"/>
          <w:szCs w:val="24"/>
          <w:shd w:val="clear" w:color="auto" w:fill="ffffff"/>
        </w:rPr>
        <w:t xml:space="preserve">8.招标文件的询问</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w:t>
      </w:r>
      <w:r>
        <w:rPr>
          <w:rFonts w:hint="eastAsia" w:ascii="宋体" w:hAnsi="宋体" w:eastAsia="宋体" w:cs="宋体"/>
          <w:sz w:val="24"/>
          <w:szCs w:val="24"/>
          <w:shd w:val="clear" w:color="auto" w:fill="ffffff"/>
        </w:rPr>
        <w:t xml:space="preserve">可能无法解密投标（响应）文件，由此所造成的投标（响应）失败或损失由供应商自行负责。</w:t>
      </w:r>
      <w:bookmarkEnd w:id="1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14.1.3投标报价明细表（格式详见第三章）；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8"/>
        <w:gridCol w:w="3647"/>
        <w:gridCol w:w="5293"/>
      </w:tblGrid>
      <w:tr>
        <w:trPr>
          <w:jc w:val="center"/>
          <w:trHeight w:val="462"/>
        </w:trPr>
        <w:tc>
          <w:tcPr>
            <w:tcW w:w="357" w:type="pct"/>
            <w:vAlign w:val="center"/>
            <w:textDirection w:val="lrTb"/>
            <w:noWrap w:val="false"/>
          </w:tcPr>
          <w:p>
            <w:pPr>
              <w:pStyle w:val="990"/>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894" w:type="pct"/>
            <w:vAlign w:val="center"/>
            <w:textDirection w:val="lrTb"/>
            <w:noWrap w:val="false"/>
          </w:tcPr>
          <w:p>
            <w:pPr>
              <w:pStyle w:val="990"/>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评审项</w:t>
            </w:r>
            <w:r/>
          </w:p>
        </w:tc>
        <w:tc>
          <w:tcPr>
            <w:tcW w:w="2749" w:type="pct"/>
            <w:vAlign w:val="center"/>
            <w:textDirection w:val="lrTb"/>
            <w:noWrap w:val="false"/>
          </w:tcPr>
          <w:p>
            <w:pPr>
              <w:pStyle w:val="990"/>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评审要求</w:t>
            </w:r>
            <w:r/>
          </w:p>
        </w:tc>
      </w:tr>
      <w:tr>
        <w:trPr>
          <w:jc w:val="center"/>
          <w:trHeight w:val="462"/>
        </w:trPr>
        <w:tc>
          <w:tcPr>
            <w:gridSpan w:val="3"/>
            <w:tcW w:w="5000" w:type="pct"/>
            <w:vAlign w:val="center"/>
            <w:textDirection w:val="lrTb"/>
            <w:noWrap w:val="false"/>
          </w:tcPr>
          <w:p>
            <w:pPr>
              <w:pStyle w:val="990"/>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一、基本资格条件</w:t>
            </w:r>
            <w:r/>
          </w:p>
        </w:tc>
      </w:tr>
      <w:tr>
        <w:trPr>
          <w:jc w:val="center"/>
          <w:trHeight w:val="23"/>
        </w:trPr>
        <w:tc>
          <w:tcPr>
            <w:tcW w:w="357" w:type="pct"/>
            <w:vAlign w:val="center"/>
            <w:textDirection w:val="lrTb"/>
            <w:noWrap w:val="false"/>
          </w:tcPr>
          <w:p>
            <w:pPr>
              <w:pStyle w:val="990"/>
              <w:jc w:val="center"/>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p>
        </w:tc>
        <w:tc>
          <w:tcPr>
            <w:tcW w:w="1894"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749"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357" w:type="pct"/>
            <w:vAlign w:val="center"/>
            <w:textDirection w:val="lrTb"/>
            <w:noWrap w:val="false"/>
          </w:tcPr>
          <w:p>
            <w:pPr>
              <w:pStyle w:val="99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894"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749"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357" w:type="pct"/>
            <w:vAlign w:val="center"/>
            <w:textDirection w:val="lrTb"/>
            <w:noWrap w:val="false"/>
          </w:tcPr>
          <w:p>
            <w:pPr>
              <w:pStyle w:val="99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894"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749"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w:t>
            </w:r>
            <w:r>
              <w:rPr>
                <w:rFonts w:hint="eastAsia" w:ascii="宋体" w:hAnsi="宋体" w:eastAsia="宋体" w:cs="宋体"/>
                <w:sz w:val="21"/>
                <w:szCs w:val="21"/>
                <w:shd w:val="clear" w:color="auto" w:fill="ffffff"/>
              </w:rPr>
              <w:t xml:space="preserve">具有履行合同所必需的设备和专业技术能力的承诺书（格式自拟）。</w:t>
            </w:r>
            <w:r/>
          </w:p>
        </w:tc>
      </w:tr>
      <w:tr>
        <w:trPr>
          <w:jc w:val="center"/>
          <w:trHeight w:val="23"/>
        </w:trPr>
        <w:tc>
          <w:tcPr>
            <w:tcW w:w="357" w:type="pct"/>
            <w:vAlign w:val="center"/>
            <w:textDirection w:val="lrTb"/>
            <w:noWrap w:val="false"/>
          </w:tcPr>
          <w:p>
            <w:pPr>
              <w:pStyle w:val="99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894"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有依法缴纳税收和社会保障资金的良好记录</w:t>
            </w:r>
            <w:r/>
          </w:p>
        </w:tc>
        <w:tc>
          <w:tcPr>
            <w:tcW w:w="2749" w:type="pct"/>
            <w:vAlign w:val="center"/>
            <w:textDirection w:val="lrTb"/>
            <w:noWrap w:val="false"/>
          </w:tcPr>
          <w:p>
            <w:pPr>
              <w:jc w:val="left"/>
              <w:rPr>
                <w:rFonts w:hint="eastAsia" w:ascii="宋体" w:hAnsi="宋体" w:eastAsia="宋体" w:cs="宋体"/>
                <w:szCs w:val="21"/>
                <w:shd w:val="clear" w:color="auto" w:fill="ffffff"/>
              </w:rPr>
            </w:pPr>
            <w:r>
              <w:rPr>
                <w:rFonts w:hint="eastAsia" w:ascii="宋体" w:hAnsi="宋体" w:eastAsia="宋体" w:cs="宋体"/>
                <w:szCs w:val="21"/>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357" w:type="pct"/>
            <w:vAlign w:val="center"/>
            <w:textDirection w:val="lrTb"/>
            <w:noWrap w:val="false"/>
          </w:tcPr>
          <w:p>
            <w:pPr>
              <w:pStyle w:val="99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894"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749"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357" w:type="pct"/>
            <w:vAlign w:val="center"/>
            <w:textDirection w:val="lrTb"/>
            <w:noWrap w:val="false"/>
          </w:tcPr>
          <w:p>
            <w:pPr>
              <w:pStyle w:val="99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894"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749"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472"/>
        </w:trPr>
        <w:tc>
          <w:tcPr>
            <w:gridSpan w:val="3"/>
            <w:tcW w:w="5000" w:type="pct"/>
            <w:vAlign w:val="center"/>
            <w:textDirection w:val="lrTb"/>
            <w:noWrap w:val="false"/>
          </w:tcPr>
          <w:p>
            <w:pPr>
              <w:pStyle w:val="99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b/>
                <w:bCs/>
                <w:sz w:val="21"/>
                <w:szCs w:val="21"/>
              </w:rPr>
              <w:t xml:space="preserve">二、落实政府采购政策需满足的资格要求</w:t>
            </w:r>
            <w:r/>
          </w:p>
        </w:tc>
      </w:tr>
      <w:tr>
        <w:trPr>
          <w:jc w:val="center"/>
          <w:trHeight w:val="23"/>
        </w:trPr>
        <w:tc>
          <w:tcPr>
            <w:tcW w:w="357" w:type="pct"/>
            <w:vAlign w:val="center"/>
            <w:textDirection w:val="lrTb"/>
            <w:noWrap w:val="false"/>
          </w:tcPr>
          <w:p>
            <w:pPr>
              <w:pStyle w:val="99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894" w:type="pct"/>
            <w:vAlign w:val="center"/>
            <w:textDirection w:val="lrTb"/>
            <w:noWrap w:val="false"/>
          </w:tcPr>
          <w:p>
            <w:pPr>
              <w:jc w:val="left"/>
              <w:rPr>
                <w:rFonts w:hint="eastAsia" w:ascii="宋体" w:hAnsi="宋体" w:eastAsia="宋体" w:cs="宋体"/>
                <w:szCs w:val="21"/>
              </w:rPr>
            </w:pPr>
            <w:r/>
            <w:bookmarkStart w:id="20" w:name="_Hlk193373891"/>
            <w:r>
              <w:rPr>
                <w:rFonts w:hint="eastAsia" w:ascii="宋体" w:hAnsi="宋体" w:eastAsia="宋体" w:cs="宋体"/>
                <w:szCs w:val="21"/>
              </w:rPr>
              <w:t xml:space="preserve">根据《政府采购促进中小企业发展管理办法》的相关规定，本项目</w:t>
            </w:r>
            <w:r>
              <w:rPr>
                <w:rFonts w:hint="eastAsia" w:ascii="宋体" w:hAnsi="宋体" w:eastAsia="宋体" w:cs="宋体"/>
                <w:b/>
                <w:bCs/>
                <w:szCs w:val="21"/>
              </w:rPr>
              <w:t xml:space="preserve">专门面向中小企业</w:t>
            </w:r>
            <w:r>
              <w:rPr>
                <w:rFonts w:hint="eastAsia" w:ascii="宋体" w:hAnsi="宋体" w:eastAsia="宋体" w:cs="宋体"/>
                <w:szCs w:val="21"/>
              </w:rPr>
              <w:t xml:space="preserve">，供应商应为中小微企业、监狱企业、残疾人福利性单位。</w:t>
            </w:r>
            <w:bookmarkEnd w:id="20"/>
            <w:r/>
            <w:r/>
          </w:p>
        </w:tc>
        <w:tc>
          <w:tcPr>
            <w:tcW w:w="2749" w:type="pct"/>
            <w:vAlign w:val="center"/>
            <w:textDirection w:val="lrTb"/>
            <w:noWrap w:val="false"/>
          </w:tcPr>
          <w:p>
            <w:pPr>
              <w:pStyle w:val="990"/>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供应商提供以下三类文件之一的即符合本条要求, 否则，将不享受中小企业扶持政策：</w:t>
            </w:r>
            <w:r/>
          </w:p>
          <w:p>
            <w:pPr>
              <w:pStyle w:val="990"/>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1、中小企业声明函（格式见第三章）；</w:t>
            </w:r>
            <w:r/>
          </w:p>
          <w:p>
            <w:pPr>
              <w:pStyle w:val="990"/>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2、残疾人福利性单位声明函（格式见第三章）；</w:t>
            </w:r>
            <w:r/>
          </w:p>
          <w:p>
            <w:pPr>
              <w:pStyle w:val="990"/>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3、监狱企业证明文件，由省级以上监狱管理局、戒毒管理局（含新疆生产建设兵团）出具。</w:t>
            </w:r>
            <w:r/>
          </w:p>
          <w:p>
            <w:pPr>
              <w:pStyle w:val="990"/>
              <w:jc w:val="left"/>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rPr>
              <w:t xml:space="preserve">注：若供应商提供的以上材料为虚假声明则视同提供虚假材料，按《政府采购法》相关规定处理并报请政府监管部门给予行政处罚。</w:t>
            </w:r>
            <w:r/>
          </w:p>
        </w:tc>
      </w:tr>
      <w:tr>
        <w:trPr>
          <w:jc w:val="center"/>
          <w:trHeight w:val="405"/>
        </w:trPr>
        <w:tc>
          <w:tcPr>
            <w:gridSpan w:val="3"/>
            <w:tcW w:w="5000" w:type="pct"/>
            <w:vAlign w:val="center"/>
            <w:textDirection w:val="lrTb"/>
            <w:noWrap w:val="false"/>
          </w:tcPr>
          <w:p>
            <w:pPr>
              <w:pStyle w:val="990"/>
              <w:jc w:val="center"/>
              <w:spacing w:line="240" w:lineRule="auto"/>
              <w:rPr>
                <w:rFonts w:hint="eastAsia" w:ascii="宋体" w:hAnsi="宋体" w:eastAsia="宋体" w:cs="宋体"/>
                <w:sz w:val="21"/>
                <w:szCs w:val="21"/>
              </w:rPr>
            </w:pPr>
            <w:r>
              <w:rPr>
                <w:rFonts w:hint="eastAsia" w:ascii="宋体" w:hAnsi="宋体" w:eastAsia="宋体" w:cs="宋体"/>
                <w:b/>
                <w:bCs/>
                <w:sz w:val="21"/>
                <w:szCs w:val="21"/>
                <w:shd w:val="clear" w:color="auto" w:fill="ffffff"/>
              </w:rPr>
              <w:t xml:space="preserve">三、本项目的特定资格要求</w:t>
            </w:r>
            <w:r/>
          </w:p>
        </w:tc>
      </w:tr>
      <w:tr>
        <w:trPr>
          <w:jc w:val="center"/>
          <w:trHeight w:val="23"/>
        </w:trPr>
        <w:tc>
          <w:tcPr>
            <w:tcW w:w="357" w:type="pct"/>
            <w:vAlign w:val="center"/>
            <w:textDirection w:val="lrTb"/>
            <w:noWrap w:val="false"/>
          </w:tcPr>
          <w:p>
            <w:pPr>
              <w:pStyle w:val="99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894"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2749" w:type="pct"/>
            <w:vAlign w:val="center"/>
            <w:textDirection w:val="lrTb"/>
            <w:noWrap w:val="false"/>
          </w:tcPr>
          <w:p>
            <w:pPr>
              <w:pStyle w:val="99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r/>
          </w:p>
        </w:tc>
      </w:tr>
    </w:tbl>
    <w:p>
      <w:pPr>
        <w:ind w:firstLine="482"/>
        <w:spacing w:line="360" w:lineRule="auto"/>
        <w:rPr>
          <w:rFonts w:hint="eastAsia" w:ascii="宋体" w:hAnsi="宋体" w:eastAsia="宋体" w:cs="宋体"/>
          <w:b/>
          <w:bCs/>
          <w:sz w:val="24"/>
          <w:szCs w:val="24"/>
          <w:shd w:val="clear" w:color="auto" w:fill="ffffff"/>
        </w:rPr>
      </w:pPr>
      <w:r/>
      <w:bookmarkStart w:id="21" w:name="_Hlk193373287"/>
      <w:r>
        <w:rPr>
          <w:rFonts w:hint="eastAsia" w:ascii="宋体" w:hAnsi="宋体" w:eastAsia="宋体" w:cs="宋体"/>
          <w:b/>
          <w:bCs/>
          <w:sz w:val="24"/>
          <w:szCs w:val="24"/>
          <w:u w:val="single"/>
          <w:shd w:val="clear" w:color="auto" w:fill="ffffff"/>
        </w:rPr>
        <w:t xml:space="preserve">以上是资格性审查的要求和必须提供的材料，未按要求提供的投标（响应）无效。</w:t>
      </w:r>
      <w:bookmarkEnd w:id="21"/>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14.1.5符合性审查响应文件</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7"/>
        <w:gridCol w:w="4075"/>
        <w:gridCol w:w="4876"/>
      </w:tblGrid>
      <w:tr>
        <w:trPr>
          <w:trHeight w:val="452"/>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tcW w:w="2116" w:type="pct"/>
            <w:vAlign w:val="center"/>
            <w:textDirection w:val="lrTb"/>
            <w:noWrap w:val="false"/>
          </w:tcPr>
          <w:p>
            <w:pPr>
              <w:pStyle w:val="990"/>
              <w:jc w:val="center"/>
              <w:spacing w:line="24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评审项</w:t>
            </w:r>
            <w:r/>
          </w:p>
        </w:tc>
        <w:tc>
          <w:tcPr>
            <w:tcW w:w="2532" w:type="pct"/>
            <w:vAlign w:val="center"/>
            <w:textDirection w:val="lrTb"/>
            <w:noWrap w:val="false"/>
          </w:tcPr>
          <w:p>
            <w:pPr>
              <w:pStyle w:val="990"/>
              <w:jc w:val="center"/>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评审要求</w:t>
            </w:r>
            <w:r/>
          </w:p>
        </w:tc>
      </w:tr>
      <w:tr>
        <w:trPr>
          <w:trHeight w:val="392"/>
        </w:trPr>
        <w:tc>
          <w:tcPr>
            <w:gridSpan w:val="3"/>
            <w:tcW w:w="5000" w:type="pct"/>
            <w:vAlign w:val="center"/>
            <w:textDirection w:val="lrTb"/>
            <w:noWrap w:val="false"/>
          </w:tcPr>
          <w:p>
            <w:pPr>
              <w:pStyle w:val="990"/>
              <w:jc w:val="center"/>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一、报价要求</w:t>
            </w:r>
            <w:r/>
          </w:p>
        </w:tc>
      </w:tr>
      <w:tr>
        <w:trPr>
          <w:trHeight w:val="23"/>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供应商报价不得超出采购预算及最高限价</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以响应文件报价为准（供应商无须单独提供资料）</w:t>
            </w:r>
            <w:r/>
          </w:p>
        </w:tc>
      </w:tr>
      <w:tr>
        <w:trPr>
          <w:trHeight w:val="412"/>
        </w:trPr>
        <w:tc>
          <w:tcPr>
            <w:gridSpan w:val="3"/>
            <w:tcW w:w="5000"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二、商务要求</w:t>
            </w:r>
            <w:r/>
          </w:p>
        </w:tc>
      </w:tr>
      <w:tr>
        <w:trPr>
          <w:trHeight w:val="482"/>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1</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投标（响应）函</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格式见第三章</w:t>
            </w:r>
            <w:r/>
          </w:p>
        </w:tc>
      </w:tr>
      <w:tr>
        <w:trPr>
          <w:trHeight w:val="532"/>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2</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法定代表人授权委托书（如有授权）</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格式见第三章</w:t>
            </w:r>
            <w:r/>
          </w:p>
        </w:tc>
      </w:tr>
      <w:tr>
        <w:trPr>
          <w:trHeight w:val="624"/>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3</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供应商法定代表人身份证扫描件、供应商代理人身份证扫描件（如有授权）</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供应商法定代表人身份证扫描件、供应商代理人身份证扫描件（如有授权）</w:t>
            </w:r>
            <w:r/>
          </w:p>
        </w:tc>
      </w:tr>
      <w:tr>
        <w:trPr>
          <w:trHeight w:val="604"/>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4</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《供应商基本情况表》、《资格文件的声明函》</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格式见第三章</w:t>
            </w:r>
            <w:r/>
          </w:p>
        </w:tc>
      </w:tr>
      <w:tr>
        <w:trPr>
          <w:trHeight w:val="614"/>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5</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《供应商与其他单位存在直接控股、管理关系情况表》</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格式见第三章</w:t>
            </w:r>
            <w:r/>
          </w:p>
        </w:tc>
      </w:tr>
      <w:tr>
        <w:trPr>
          <w:trHeight w:val="482"/>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6</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《商务要求偏离表》</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格式见第三章</w:t>
            </w:r>
            <w:r/>
          </w:p>
        </w:tc>
      </w:tr>
      <w:tr>
        <w:trPr>
          <w:trHeight w:val="462"/>
        </w:trPr>
        <w:tc>
          <w:tcPr>
            <w:gridSpan w:val="3"/>
            <w:tcW w:w="5000"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三、技术要求</w:t>
            </w:r>
            <w:r/>
          </w:p>
        </w:tc>
      </w:tr>
      <w:tr>
        <w:trPr>
          <w:trHeight w:val="482"/>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《服务或技术要求偏离表》</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格式见第三章</w:t>
            </w:r>
            <w:r/>
          </w:p>
        </w:tc>
      </w:tr>
      <w:tr>
        <w:trPr>
          <w:trHeight w:val="512"/>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《针对本项目制定的服务实施方案》</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格式见第三章</w:t>
            </w:r>
            <w:r/>
          </w:p>
        </w:tc>
      </w:tr>
      <w:tr>
        <w:trPr>
          <w:trHeight w:val="512"/>
        </w:trPr>
        <w:tc>
          <w:tcPr>
            <w:tcW w:w="352" w:type="pct"/>
            <w:vAlign w:val="center"/>
            <w:textDirection w:val="lrTb"/>
            <w:noWrap w:val="false"/>
          </w:tcPr>
          <w:p>
            <w:pPr>
              <w:pStyle w:val="990"/>
              <w:jc w:val="center"/>
              <w:spacing w:line="240" w:lineRule="auto"/>
              <w:rPr>
                <w:rFonts w:hint="eastAsia" w:cs="宋体" w:asciiTheme="minorEastAsia" w:hAnsiTheme="minorEastAsia" w:eastAsiaTheme="minorEastAsia"/>
                <w:sz w:val="21"/>
                <w:szCs w:val="21"/>
              </w:rPr>
            </w:pPr>
            <w:r/>
            <w:bookmarkStart w:id="22" w:name="_Hlk193373412"/>
            <w:r>
              <w:rPr>
                <w:rFonts w:hint="eastAsia" w:cs="宋体" w:asciiTheme="minorEastAsia" w:hAnsiTheme="minorEastAsia" w:eastAsiaTheme="minorEastAsia"/>
                <w:sz w:val="21"/>
                <w:szCs w:val="21"/>
              </w:rPr>
              <w:t xml:space="preserve">3</w:t>
            </w:r>
            <w:r/>
          </w:p>
        </w:tc>
        <w:tc>
          <w:tcPr>
            <w:tcW w:w="2116"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采购需求中所涉及到的或供应商认为需加以说明或证明的其他有关符合性证明材料、证明（如有）</w:t>
            </w:r>
            <w:r/>
          </w:p>
        </w:tc>
        <w:tc>
          <w:tcPr>
            <w:tcW w:w="2532" w:type="pct"/>
            <w:vAlign w:val="center"/>
            <w:textDirection w:val="lrTb"/>
            <w:noWrap w:val="false"/>
          </w:tcPr>
          <w:p>
            <w:pPr>
              <w:pStyle w:val="990"/>
              <w:jc w:val="left"/>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shd w:val="clear" w:color="auto" w:fill="ffffff"/>
              </w:rPr>
              <w:t xml:space="preserve">格式自拟</w:t>
            </w:r>
            <w:bookmarkEnd w:id="22"/>
            <w:r/>
            <w:r/>
          </w:p>
        </w:tc>
      </w:tr>
    </w:tbl>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3" w:name="_Hlk193373771"/>
      <w:r>
        <w:rPr>
          <w:rFonts w:hint="eastAsia" w:ascii="宋体" w:hAnsi="宋体" w:eastAsia="宋体" w:cs="宋体"/>
          <w:b/>
          <w:bCs/>
          <w:sz w:val="24"/>
          <w:szCs w:val="24"/>
          <w:u w:val="single"/>
          <w:shd w:val="clear" w:color="auto" w:fill="ffffff"/>
        </w:rPr>
        <w:t xml:space="preserve">未按要求提供</w:t>
      </w:r>
      <w:bookmarkEnd w:id="23"/>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14.1.6《拟投入本项目人员配备一览表》、《类似业绩情况表》（格式见第三章）；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14.1.7综合评审其他文件相关要求详见采购文件第六章评审办法。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hint="eastAsia" w:ascii="宋体" w:hAnsi="宋体" w:eastAsia="宋体" w:cs="宋体"/>
          <w:sz w:val="24"/>
          <w:szCs w:val="24"/>
          <w:shd w:val="clear" w:color="auto" w:fill="ffffff"/>
        </w:rPr>
      </w:pPr>
      <w:r/>
      <w:bookmarkStart w:id="24" w:name="_Hlk158131259"/>
      <w:r/>
      <w:bookmarkStart w:id="25"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4"/>
      <w:r/>
      <w:bookmarkEnd w:id="25"/>
      <w:r/>
      <w:r/>
    </w:p>
    <w:p>
      <w:pPr>
        <w:ind w:firstLine="482"/>
        <w:spacing w:line="360" w:lineRule="auto"/>
        <w:tabs>
          <w:tab w:val="left" w:pos="142"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6"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2"/>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15.4如不同投标（响应）文件制作机器码一致，则投标（响应）无效。</w:t>
      </w:r>
      <w:bookmarkEnd w:id="26"/>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7"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w:t>
      </w:r>
      <w:r>
        <w:rPr>
          <w:rFonts w:hint="eastAsia" w:ascii="宋体" w:hAnsi="宋体" w:eastAsia="宋体" w:cs="宋体"/>
          <w:sz w:val="24"/>
          <w:szCs w:val="24"/>
          <w:shd w:val="clear" w:color="auto" w:fill="ffffff"/>
        </w:rPr>
        <w:t xml:space="preserve">报价，除非因特殊原因并经买卖双方协商同意，供应商不得再要求追加任何费用。同时，除非合同条款中另有规定，否则，供应商所报价格在合同实施期间不因市场变化因素而变动。</w:t>
      </w:r>
      <w:bookmarkEnd w:id="27"/>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hint="eastAsia" w:ascii="宋体" w:hAnsi="宋体" w:eastAsia="宋体" w:cs="宋体"/>
          <w:b/>
          <w:sz w:val="24"/>
          <w:szCs w:val="24"/>
          <w:shd w:val="clear" w:color="auto" w:fill="ffffff"/>
        </w:rPr>
      </w:pPr>
      <w:r/>
      <w:bookmarkStart w:id="28"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17.2在合同签订后十五日内，中标单位应当以支票、汇票、本票或者金融机构、担保机构出具的保函等非现金形式提交履约保证金。如选择转账方式提交履约保证金的，款项转入以下账户：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w:t>
      </w:r>
      <w:bookmarkEnd w:id="28"/>
      <w:r>
        <w:rPr>
          <w:rFonts w:hint="eastAsia" w:ascii="宋体" w:hAnsi="宋体" w:eastAsia="宋体" w:cs="宋体"/>
          <w:sz w:val="24"/>
          <w:szCs w:val="24"/>
          <w:shd w:val="clear" w:color="auto" w:fill="ffffff"/>
        </w:rPr>
        <w:t xml:space="preserve">中标单位在合同期满后且缺陷更正，并配合主管部门办理移交手续后，采购人退还履约保证金（无息）。如中标单位对服务缺陷不予更正，采购人有权另请其他单位更正，所发生的费用在履约保证金中扣除。合同期间中标单位收到扣款通知后，还需在7个工作日内补足履约保证金，否则采购人有权解除合同，由此造成的损失和责任由中标单位承担。</w:t>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hint="eastAsia"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9"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9"/>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30" w:name="_Hlk117242692"/>
      <w:r/>
      <w:bookmarkStart w:id="31"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30"/>
      <w:r/>
      <w:bookmarkEnd w:id="31"/>
      <w:r/>
      <w:r/>
    </w:p>
    <w:p>
      <w:pPr>
        <w:ind w:firstLine="482"/>
        <w:spacing w:line="360" w:lineRule="auto"/>
        <w:rPr>
          <w:rFonts w:hint="eastAsia"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hint="eastAsia" w:ascii="宋体" w:hAnsi="宋体" w:eastAsia="宋体" w:cs="宋体"/>
          <w:sz w:val="24"/>
          <w:szCs w:val="24"/>
        </w:rPr>
      </w:pPr>
      <w:r/>
      <w:bookmarkStart w:id="32"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Pr>
      <w:r/>
      <w:bookmarkStart w:id="33"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rPr>
      </w:pPr>
      <w:r/>
      <w:bookmarkStart w:id="34" w:name="_Hlk158135485"/>
      <w:r/>
      <w:bookmarkEnd w:id="33"/>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w:t>
      </w:r>
      <w:r>
        <w:rPr>
          <w:rFonts w:hint="eastAsia" w:ascii="宋体" w:hAnsi="宋体" w:eastAsia="宋体" w:cs="宋体"/>
          <w:sz w:val="24"/>
          <w:szCs w:val="24"/>
        </w:rPr>
        <w:t xml:space="preserve">的后果由供应商自行承担</w:t>
      </w:r>
      <w:bookmarkEnd w:id="34"/>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hint="eastAsia" w:ascii="宋体" w:hAnsi="宋体" w:eastAsia="宋体" w:cs="宋体"/>
        </w:rPr>
      </w:pPr>
      <w:r/>
      <w:bookmarkStart w:id="35" w:name="_Hlk193375492"/>
      <w:r>
        <w:rPr>
          <w:rFonts w:hint="eastAsia" w:ascii="宋体" w:hAnsi="宋体" w:eastAsia="宋体" w:cs="宋体"/>
          <w:sz w:val="24"/>
          <w:szCs w:val="24"/>
        </w:rPr>
        <w:t xml:space="preserve">20.10以上开标活动</w:t>
      </w:r>
      <w:bookmarkStart w:id="36" w:name="_Hlk193375633"/>
      <w:r>
        <w:rPr>
          <w:rFonts w:hint="eastAsia" w:ascii="宋体" w:hAnsi="宋体" w:eastAsia="宋体" w:cs="宋体"/>
          <w:sz w:val="24"/>
          <w:szCs w:val="24"/>
        </w:rPr>
        <w:t xml:space="preserve">所涉及系统操作，以“苏采云”系统最新要求为准</w:t>
      </w:r>
      <w:bookmarkEnd w:id="36"/>
      <w:r>
        <w:rPr>
          <w:rFonts w:hint="eastAsia" w:ascii="宋体" w:hAnsi="宋体" w:eastAsia="宋体" w:cs="宋体"/>
          <w:sz w:val="24"/>
          <w:szCs w:val="24"/>
        </w:rPr>
        <w:t xml:space="preserve">。</w:t>
      </w:r>
      <w:bookmarkEnd w:id="35"/>
      <w:r/>
      <w:bookmarkEnd w:id="3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hint="eastAsia" w:ascii="宋体" w:hAnsi="宋体" w:eastAsia="宋体" w:cs="宋体"/>
          <w:sz w:val="24"/>
          <w:szCs w:val="24"/>
        </w:rPr>
      </w:pPr>
      <w:r/>
      <w:bookmarkStart w:id="37"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21.2查询渠道：</w:t>
      </w:r>
      <w:bookmarkStart w:id="38" w:name="_Hlk92794284"/>
      <w:r>
        <w:rPr>
          <w:rFonts w:hint="eastAsia" w:ascii="宋体" w:hAnsi="宋体" w:eastAsia="宋体" w:cs="宋体"/>
          <w:sz w:val="24"/>
          <w:szCs w:val="24"/>
        </w:rPr>
        <w:t xml:space="preserve">中国政府采购网（www.ccgp.gov.cn）、信用中国（www.creditchina.gov.cn）、信用江苏（</w:t>
      </w:r>
      <w:hyperlink r:id="rId22" w:tooltip="http://www.jscredit.gov.cn/" w:history="1">
        <w:r>
          <w:rPr>
            <w:rFonts w:hint="eastAsia" w:ascii="宋体" w:hAnsi="宋体" w:eastAsia="宋体" w:cs="宋体"/>
            <w:sz w:val="24"/>
            <w:szCs w:val="24"/>
          </w:rPr>
          <w:t xml:space="preserve">www.jscredit.gov.cn</w:t>
        </w:r>
      </w:hyperlink>
      <w:r>
        <w:rPr>
          <w:rFonts w:hint="eastAsia" w:ascii="宋体" w:hAnsi="宋体" w:eastAsia="宋体" w:cs="宋体"/>
          <w:sz w:val="24"/>
          <w:szCs w:val="24"/>
        </w:rPr>
        <w:t xml:space="preserve">）、诚信苏州（www.szcredit.gov.cn）。</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21.3查询证据留存方式：</w:t>
      </w:r>
      <w:bookmarkEnd w:id="38"/>
      <w:r>
        <w:rPr>
          <w:rFonts w:hint="eastAsia" w:ascii="宋体" w:hAnsi="宋体" w:eastAsia="宋体" w:cs="宋体"/>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21.4信用记录使用规则：在对供应商进行资格性审查时，应根据查询结果对供应商的不良信用记录逐项甄别确认。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39"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7"/>
      <w:r/>
      <w:bookmarkEnd w:id="3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22.1评标委员会由采购人或采购代理机构依法组建,由采购单位代表、专家评委组成。</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22.2评标委员会负责具体的评标事务，并独立履行以下职责：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22.2.1审查、评价投标（响应）文件是否符合招标文件的商务、技术等实质性要求；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22.2.2要求供应商对投标（响应）文件有关事项作出澄清或者说明；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22.2.3对投标（响应）文件进行比较和评价；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22.2.4</w:t>
      </w:r>
      <w:r>
        <w:rPr>
          <w:rFonts w:hint="eastAsia" w:ascii="宋体" w:hAnsi="宋体" w:eastAsia="宋体" w:cs="宋体"/>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22.2.5向采购人、采购代理机构或者有关部门报告评标中发现的违法行为；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22.3评标委员会成员应当履行下列义务：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22.3.1遵纪守法，客观、公正、廉洁地履行职责；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22.3.2按照招标文件规定的评标办法和评标标准进行评标，对评审意见承担个人责任；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22.3.3对评标过程和结果，以及供应商的商业秘密保密；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22.3.4参与评审报告的起草；</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22.3.5配合相关部门的投诉处理工作；</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22.3.6配合采购人或采购代理机构答复投标（响应）供应商提出的质疑。</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40"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40"/>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w:t>
      </w:r>
      <w:r>
        <w:rPr>
          <w:rFonts w:hint="eastAsia" w:ascii="宋体" w:hAnsi="宋体" w:eastAsia="宋体" w:cs="宋体"/>
          <w:sz w:val="24"/>
          <w:szCs w:val="24"/>
          <w:shd w:val="clear" w:color="auto" w:fill="ffffff"/>
        </w:rPr>
        <w:t xml:space="preserve">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hint="eastAsia" w:ascii="宋体" w:hAnsi="宋体" w:eastAsia="宋体" w:cs="宋体"/>
          <w:sz w:val="24"/>
          <w:szCs w:val="24"/>
          <w:shd w:val="clear" w:color="auto" w:fill="ffffff"/>
        </w:rPr>
      </w:pPr>
      <w:r/>
      <w:bookmarkStart w:id="41" w:name="_Hlk193377260"/>
      <w:r>
        <w:rPr>
          <w:rFonts w:hint="eastAsia" w:ascii="宋体" w:hAnsi="宋体" w:eastAsia="宋体" w:cs="宋体"/>
          <w:sz w:val="24"/>
          <w:szCs w:val="24"/>
          <w:shd w:val="clear" w:color="auto" w:fill="ffffff"/>
        </w:rPr>
        <w:t xml:space="preserve">24.6.1投标（响应）文件中开标一览表内容与投标（响应）文件中相应内容不一致的，以开标一览表为准；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1"/>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2" w:name="_Hlk158140341"/>
      <w:r>
        <w:rPr>
          <w:rFonts w:hint="eastAsia" w:ascii="宋体" w:hAnsi="宋体" w:eastAsia="宋体" w:cs="宋体"/>
          <w:sz w:val="24"/>
          <w:szCs w:val="24"/>
          <w:shd w:val="clear" w:color="auto" w:fill="ffffff"/>
        </w:rPr>
        <w:t xml:space="preserve">（线上开评标项目可通过“苏采云”系统要求其提供）</w:t>
      </w:r>
      <w:bookmarkEnd w:id="42"/>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sz w:val="24"/>
          <w:szCs w:val="24"/>
          <w:shd w:val="clear" w:color="auto" w:fill="ffffff"/>
        </w:rPr>
      </w:pPr>
      <w:r/>
      <w:bookmarkStart w:id="43"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3"/>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44" w:name="_Hlk158140503"/>
      <w:r/>
      <w:bookmarkStart w:id="45" w:name="_Hlk158140452"/>
      <w:r/>
      <w:bookmarkStart w:id="46" w:name="_Hlk90656398"/>
      <w:r/>
      <w:bookmarkStart w:id="47" w:name="_Hlk193377538"/>
      <w:r>
        <w:rPr>
          <w:rFonts w:hint="eastAsia" w:ascii="宋体" w:hAnsi="宋体" w:eastAsia="宋体" w:cs="宋体"/>
          <w:sz w:val="24"/>
          <w:szCs w:val="24"/>
          <w:shd w:val="clear" w:color="auto" w:fill="ffffff"/>
        </w:rPr>
        <w:t xml:space="preserve">25.2本项目采用线上澄清</w:t>
      </w:r>
      <w:bookmarkEnd w:id="44"/>
      <w:r>
        <w:rPr>
          <w:rFonts w:hint="eastAsia" w:ascii="宋体" w:hAnsi="宋体" w:eastAsia="宋体" w:cs="宋体"/>
          <w:sz w:val="24"/>
          <w:szCs w:val="24"/>
          <w:shd w:val="clear" w:color="auto" w:fill="ffffff"/>
        </w:rPr>
        <w:t xml:space="preserve">。</w:t>
      </w:r>
      <w:bookmarkEnd w:id="45"/>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25.2.2接到评标委员会澄清、说明和更正要求的供应商如未按规定做出澄清、说明和更正，其风险由供应商自行承担。</w:t>
      </w:r>
      <w:bookmarkEnd w:id="46"/>
      <w:r/>
      <w:bookmarkEnd w:id="4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w:t>
      </w:r>
      <w:r>
        <w:rPr>
          <w:rFonts w:hint="eastAsia" w:ascii="宋体" w:hAnsi="宋体" w:eastAsia="宋体" w:cs="宋体"/>
          <w:sz w:val="24"/>
          <w:szCs w:val="24"/>
          <w:shd w:val="clear" w:color="auto" w:fill="ffffff"/>
        </w:rPr>
        <w:t xml:space="preserve">以下因素：</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hint="eastAsia"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hint="eastAsia" w:ascii="宋体" w:hAnsi="宋体" w:eastAsia="宋体" w:cs="宋体"/>
          <w:sz w:val="24"/>
          <w:szCs w:val="24"/>
          <w:shd w:val="clear" w:color="auto" w:fill="ffffff"/>
        </w:rPr>
      </w:pPr>
      <w:r/>
      <w:bookmarkStart w:id="48"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bookmarkStart w:id="49" w:name="_Hlk193378097"/>
      <w:r>
        <w:rPr>
          <w:rFonts w:hint="eastAsia" w:ascii="宋体" w:hAnsi="宋体" w:eastAsia="宋体" w:cs="宋体"/>
          <w:b/>
          <w:bCs/>
          <w:sz w:val="24"/>
          <w:szCs w:val="20"/>
          <w:shd w:val="clear" w:color="auto" w:fill="ffffff"/>
        </w:rPr>
        <w:t xml:space="preserve">F.其他事项</w:t>
      </w:r>
      <w:bookmarkEnd w:id="4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hyperlink r:id="rId23"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33.1中标单位须按前附表的规定计算并支付代理服务费，该费用应在领取中标通知书时付清。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hint="eastAsia" w:ascii="宋体" w:hAnsi="宋体" w:eastAsia="宋体" w:cs="宋体"/>
          <w:sz w:val="24"/>
          <w:szCs w:val="24"/>
          <w:shd w:val="clear" w:color="auto" w:fill="ffffff"/>
        </w:rPr>
      </w:pPr>
      <w:r/>
      <w:bookmarkStart w:id="50"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bookmarkEnd w:id="50"/>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26"/>
          <w:szCs w:val="20"/>
          <w:shd w:val="clear" w:color="auto" w:fill="ffffff"/>
        </w:rPr>
        <w:br w:type="page" w:clear="all"/>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jc w:val="center"/>
        <w:keepLines/>
        <w:keepNext/>
        <w:spacing w:before="340" w:after="330" w:line="360" w:lineRule="auto"/>
        <w:rPr>
          <w:rFonts w:hint="eastAsia" w:ascii="宋体" w:hAnsi="宋体" w:eastAsia="宋体" w:cs="宋体"/>
          <w:sz w:val="52"/>
          <w:szCs w:val="20"/>
          <w:shd w:val="clear" w:color="auto" w:fill="ffffff"/>
        </w:rPr>
        <w:outlineLvl w:val="0"/>
      </w:pPr>
      <w:r/>
      <w:bookmarkStart w:id="51" w:name="_Toc105940239"/>
      <w:r>
        <w:rPr>
          <w:rFonts w:hint="eastAsia" w:ascii="宋体" w:hAnsi="宋体" w:eastAsia="宋体" w:cs="宋体"/>
          <w:b/>
          <w:sz w:val="52"/>
          <w:szCs w:val="20"/>
          <w:shd w:val="clear" w:color="auto" w:fill="ffffff"/>
        </w:rPr>
        <w:t xml:space="preserve">第三章 投标（响应）文件格式</w:t>
      </w:r>
      <w:bookmarkEnd w:id="51"/>
      <w:r/>
      <w:r/>
    </w:p>
    <w:p>
      <w:pPr>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bookmarkStart w:id="52"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（姓名+手机号码）为本公司代理人，以本公司的名义参加苏州诚和招投标咨询有限公司组织实施的编号为</w:t>
      </w:r>
      <w:r>
        <w:rPr>
          <w:rFonts w:ascii="宋体" w:hAnsi="宋体" w:eastAsia="宋体" w:cs="宋体"/>
          <w:sz w:val="24"/>
          <w:szCs w:val="20"/>
          <w:u w:val="single"/>
        </w:rPr>
        <w:t xml:space="preserve">JSZC-320500-SZCH-G2025-0109</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代理人无转委托权。特此委托。</w:t>
      </w:r>
      <w:bookmarkEnd w:id="52"/>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18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hint="eastAsia"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rPr>
          <w:rFonts w:hint="eastAsia" w:ascii="宋体" w:hAnsi="宋体" w:eastAsia="宋体" w:cs="宋体"/>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rPr>
        <w:t xml:space="preserve">：</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ascii="宋体" w:hAnsi="宋体" w:eastAsia="宋体" w:cs="宋体"/>
          <w:sz w:val="24"/>
          <w:szCs w:val="20"/>
          <w:u w:val="single"/>
          <w:shd w:val="clear" w:color="auto" w:fill="ffffff"/>
        </w:rPr>
        <w:t xml:space="preserve">JSZC-320500-SZCH-G2025-0109</w:t>
      </w:r>
      <w:r>
        <w:rPr>
          <w:rFonts w:hint="eastAsia" w:ascii="宋体" w:hAnsi="宋体" w:eastAsia="宋体" w:cs="宋体"/>
          <w:sz w:val="24"/>
          <w:szCs w:val="20"/>
          <w:shd w:val="clear" w:color="auto" w:fill="ffffff"/>
        </w:rPr>
        <w:t xml:space="preserve">号招标文件，经仔细阅读和研究，本公司决定参加投标（响应）。</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1、本公司愿意按照招标文件的一切要求，提供完成该项目的全部内容，本公司的投标（响应）报价</w:t>
      </w:r>
      <w:r>
        <w:rPr>
          <w:rFonts w:hint="eastAsia" w:ascii="宋体" w:hAnsi="宋体" w:eastAsia="宋体" w:cs="宋体"/>
          <w:sz w:val="24"/>
          <w:szCs w:val="24"/>
          <w:shd w:val="clear" w:color="auto" w:fill="ffffff"/>
        </w:rPr>
        <w:t xml:space="preserve">包括花卉、人工、</w:t>
      </w:r>
      <w:r>
        <w:rPr>
          <w:rFonts w:hint="eastAsia" w:ascii="宋体" w:hAnsi="宋体" w:eastAsia="宋体" w:cs="宋体"/>
          <w:sz w:val="24"/>
          <w:szCs w:val="24"/>
        </w:rPr>
        <w:t xml:space="preserve">日常养护、肥料、工具、</w:t>
      </w:r>
      <w:r>
        <w:rPr>
          <w:rFonts w:hint="eastAsia" w:ascii="宋体" w:hAnsi="宋体" w:eastAsia="宋体" w:cs="宋体"/>
          <w:sz w:val="24"/>
          <w:szCs w:val="24"/>
          <w:shd w:val="clear" w:color="auto" w:fill="ffffff"/>
        </w:rPr>
        <w:t xml:space="preserve">仓储、发货、运输、安装、调试、验收、培训、质保、保险、专利、风险、利润、税金、政策性文件规定及合同包含的所有风险、责任等各项应有费用、代理服务费等一切实施本项目产生的相关费用。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2、如果本公司的投标（响应）书被接受，本公司将严格履行招标文件中规定的每一项要求，按期、按质、按量履行合同的义务。</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4、本公司同意按招标文件中的规定，本投标（响应）书的有效期限为投标（响应）截止日起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8、本公司承诺该项投标（响应）在开标后的全过程中保持有效，不作任何更改和变动。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9、如果本公司中标，本公司愿意按招标文件规定支付履约保证金和代理服务费。</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（4）其它说明。</w:t>
      </w:r>
      <w:r/>
    </w:p>
    <w:p>
      <w:pPr>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hAnsi="宋体" w:eastAsia="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1023"/>
        <w:ind w:firstLine="520"/>
      </w:pPr>
      <w:r/>
      <w:r/>
    </w:p>
    <w:p>
      <w:pPr>
        <w:ind w:firstLine="210"/>
        <w:jc w:val="right"/>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firstLine="210"/>
        <w:jc w:val="righ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pStyle w:val="985"/>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3、开标一览表</w:t>
      </w:r>
      <w:r/>
    </w:p>
    <w:p>
      <w:pPr>
        <w:pStyle w:val="1126"/>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126"/>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w:t>
      </w:r>
      <w:r/>
    </w:p>
    <w:p>
      <w:pPr>
        <w:pStyle w:val="1126"/>
        <w:jc w:val="center"/>
        <w:spacing w:line="360" w:lineRule="auto"/>
        <w:rPr>
          <w:rFonts w:hint="eastAsia" w:hAnsi="宋体" w:eastAsia="宋体" w:cs="宋体"/>
          <w:b/>
          <w:sz w:val="24"/>
          <w:szCs w:val="24"/>
        </w:rPr>
      </w:pPr>
      <w:r>
        <w:rPr>
          <w:rFonts w:hint="eastAsia"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JSZC-320500-SZCH-G2025-0109</w:t>
      </w:r>
      <w:r/>
    </w:p>
    <w:p>
      <w:pPr>
        <w:rPr>
          <w:rFonts w:hint="eastAsia" w:ascii="宋体" w:hAnsi="宋体" w:eastAsia="宋体" w:cs="宋体"/>
          <w:sz w:val="24"/>
          <w:szCs w:val="24"/>
        </w:rPr>
      </w:pPr>
      <w:r>
        <w:rPr>
          <w:rFonts w:hint="eastAsia" w:ascii="宋体" w:hAnsi="宋体" w:eastAsia="宋体" w:cs="宋体"/>
          <w:sz w:val="24"/>
          <w:szCs w:val="24"/>
        </w:rPr>
        <w:t xml:space="preserve">分包号：采购包1</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98"/>
        <w:gridCol w:w="5630"/>
      </w:tblGrid>
      <w:tr>
        <w:trPr>
          <w:cantSplit/>
          <w:trHeight w:val="109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cantSplit/>
          <w:trHeight w:val="108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widowControl/>
              <w:rPr>
                <w:rFonts w:hint="eastAsia" w:ascii="宋体" w:hAnsi="宋体" w:eastAsia="宋体" w:cs="宋体"/>
                <w:sz w:val="24"/>
                <w:szCs w:val="24"/>
              </w:rPr>
            </w:pPr>
            <w:r/>
            <w:bookmarkStart w:id="53" w:name="XMMC"/>
            <w:r/>
            <w:bookmarkEnd w:id="53"/>
            <w:r>
              <w:rPr>
                <w:rFonts w:hint="eastAsia" w:ascii="宋体" w:hAnsi="宋体" w:eastAsia="宋体" w:cs="宋体"/>
                <w:sz w:val="24"/>
                <w:szCs w:val="24"/>
              </w:rPr>
              <w:t xml:space="preserve">2026年度日常环境布置用花</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小写：</w:t>
            </w:r>
            <w:bookmarkStart w:id="54" w:name="JEXX"/>
            <w:r/>
            <w:bookmarkEnd w:id="54"/>
            <w:r>
              <w:rPr>
                <w:rFonts w:hint="eastAsia" w:ascii="宋体" w:hAnsi="宋体" w:eastAsia="宋体" w:cs="宋体"/>
                <w:sz w:val="24"/>
                <w:szCs w:val="24"/>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spacing w:line="600" w:lineRule="exact"/>
              <w:widowControl/>
              <w:rPr>
                <w:rFonts w:hint="eastAsia" w:ascii="宋体" w:hAnsi="宋体" w:eastAsia="宋体" w:cs="宋体"/>
                <w:sz w:val="24"/>
                <w:szCs w:val="24"/>
              </w:rPr>
            </w:pPr>
            <w:r/>
            <w:bookmarkStart w:id="55" w:name="JEDX"/>
            <w:r/>
            <w:bookmarkEnd w:id="55"/>
            <w:r/>
            <w:r/>
          </w:p>
        </w:tc>
      </w:tr>
    </w:tbl>
    <w:p>
      <w:pPr>
        <w:ind w:left="1024"/>
        <w:spacing w:line="60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420" w:firstLine="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日</w:t>
      </w:r>
      <w:r/>
    </w:p>
    <w:p>
      <w:pPr>
        <w:pStyle w:val="1023"/>
        <w:ind w:left="0" w:firstLine="480"/>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pStyle w:val="1023"/>
        <w:ind w:left="0" w:firstLine="480"/>
        <w:spacing w:after="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zh-CN"/>
        </w:rPr>
        <w:t xml:space="preserve">1、开标一览表必须加盖投标</w:t>
      </w:r>
      <w:r>
        <w:rPr>
          <w:rFonts w:hint="eastAsia" w:ascii="宋体" w:hAnsi="宋体" w:eastAsia="宋体" w:cs="宋体"/>
          <w:sz w:val="24"/>
          <w:szCs w:val="24"/>
          <w:u w:val="single"/>
        </w:rPr>
        <w:t xml:space="preserve">人公章（复印件无效）。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lang w:val="zh-CN"/>
        </w:rPr>
        <w:t xml:space="preserve">2、如有分包，投标人投任何</w:t>
      </w:r>
      <w:r>
        <w:rPr>
          <w:rFonts w:hint="eastAsia" w:ascii="宋体" w:hAnsi="宋体" w:eastAsia="宋体" w:cs="宋体"/>
          <w:sz w:val="24"/>
          <w:szCs w:val="24"/>
          <w:u w:val="single"/>
        </w:rPr>
        <w:t xml:space="preserve">一个</w:t>
      </w:r>
      <w:r>
        <w:rPr>
          <w:rFonts w:hint="eastAsia" w:ascii="宋体" w:hAnsi="宋体" w:eastAsia="宋体" w:cs="宋体"/>
          <w:sz w:val="24"/>
          <w:szCs w:val="24"/>
          <w:u w:val="single"/>
          <w:lang w:val="zh-CN"/>
        </w:rPr>
        <w:t xml:space="preserve">包的标的，</w:t>
      </w:r>
      <w:r>
        <w:rPr>
          <w:rFonts w:hint="eastAsia" w:ascii="宋体" w:hAnsi="宋体" w:eastAsia="宋体" w:cs="宋体"/>
          <w:sz w:val="24"/>
          <w:szCs w:val="24"/>
          <w:u w:val="single"/>
        </w:rPr>
        <w:t xml:space="preserve">都需单</w:t>
      </w:r>
      <w:r>
        <w:rPr>
          <w:rFonts w:hint="eastAsia" w:ascii="宋体" w:hAnsi="宋体" w:eastAsia="宋体" w:cs="宋体"/>
          <w:sz w:val="24"/>
          <w:szCs w:val="24"/>
          <w:u w:val="single"/>
          <w:lang w:val="zh-CN"/>
        </w:rPr>
        <w:t xml:space="preserve">独填写开标一览表。</w:t>
      </w:r>
      <w:r/>
    </w:p>
    <w:p>
      <w:pPr>
        <w:spacing w:line="360" w:lineRule="auto"/>
        <w:rPr>
          <w:rFonts w:hint="eastAsia"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投标报价明细表</w:t>
      </w:r>
      <w:r/>
    </w:p>
    <w:p>
      <w:pPr>
        <w:pStyle w:val="992"/>
        <w:rPr>
          <w:rFonts w:hint="default"/>
          <w:shd w:val="clear" w:color="auto" w:fill="ffffff"/>
        </w:rPr>
      </w:pPr>
      <w:r>
        <w:rPr>
          <w:rFonts w:hint="default"/>
          <w:shd w:val="clear" w:color="auto" w:fill="ffffff"/>
        </w:rPr>
      </w:r>
      <w:r/>
    </w:p>
    <w:p>
      <w:pPr>
        <w:jc w:val="center"/>
        <w:spacing w:line="360" w:lineRule="auto"/>
        <w:rPr>
          <w:rFonts w:hint="eastAsia" w:ascii="宋体" w:hAnsi="宋体" w:eastAsia="宋体" w:cs="宋体"/>
          <w:b/>
          <w:bCs/>
          <w:sz w:val="24"/>
          <w:szCs w:val="24"/>
          <w:shd w:val="clear" w:color="auto" w:fill="ffffff"/>
        </w:rPr>
      </w:pPr>
      <w:r>
        <w:rPr>
          <w:rFonts w:ascii="宋体" w:hAnsi="宋体" w:eastAsia="宋体" w:cs="宋体"/>
          <w:b/>
          <w:bCs/>
          <w:sz w:val="24"/>
          <w:szCs w:val="24"/>
          <w:shd w:val="clear" w:color="auto" w:fill="ffffff"/>
        </w:rPr>
        <w:t xml:space="preserve">投标报价明细表</w:t>
      </w:r>
      <w:r/>
    </w:p>
    <w:p>
      <w:pP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704"/>
        <w:gridCol w:w="1710"/>
        <w:gridCol w:w="1598"/>
        <w:gridCol w:w="1404"/>
        <w:gridCol w:w="1404"/>
        <w:gridCol w:w="1404"/>
        <w:gridCol w:w="1404"/>
      </w:tblGrid>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序号</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植物名称</w:t>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规格</w:t>
            </w:r>
            <w:r/>
          </w:p>
        </w:tc>
        <w:tc>
          <w:tcPr>
            <w:tcW w:w="7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7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W w:w="7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总价（元）</w:t>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备注</w:t>
            </w:r>
            <w:r/>
          </w:p>
        </w:tc>
      </w:tr>
      <w:tr>
        <w:trPr>
          <w:cantSplit/>
          <w:jc w:val="center"/>
          <w:trHeight w:val="523"/>
        </w:trPr>
        <w:tc>
          <w:tcPr>
            <w:gridSpan w:val="7"/>
            <w:tcW w:w="50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营造花镜类</w:t>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1</w:t>
            </w:r>
            <w:r/>
          </w:p>
        </w:tc>
        <w:tc>
          <w:tcPr>
            <w:tcW w:w="888" w:type="pct"/>
            <w:vAlign w:val="center"/>
            <w:textDirection w:val="lrTb"/>
            <w:noWrap w:val="false"/>
          </w:tcPr>
          <w:p>
            <w:pPr>
              <w:jc w:val="center"/>
              <w:spacing w:before="100" w:beforeAutospacing="1" w:after="100" w:afterAutospacing="1"/>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2</w:t>
            </w:r>
            <w:r/>
          </w:p>
        </w:tc>
        <w:tc>
          <w:tcPr>
            <w:tcW w:w="888" w:type="pct"/>
            <w:vAlign w:val="center"/>
            <w:textDirection w:val="lrTb"/>
            <w:noWrap w:val="false"/>
          </w:tcPr>
          <w:p>
            <w:pPr>
              <w:jc w:val="center"/>
              <w:spacing w:before="100" w:beforeAutospacing="1" w:after="100" w:afterAutospacing="1"/>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3</w:t>
            </w:r>
            <w:r/>
          </w:p>
        </w:tc>
        <w:tc>
          <w:tcPr>
            <w:tcW w:w="888" w:type="pct"/>
            <w:vAlign w:val="center"/>
            <w:textDirection w:val="lrTb"/>
            <w:noWrap w:val="false"/>
          </w:tcPr>
          <w:p>
            <w:pPr>
              <w:jc w:val="center"/>
              <w:spacing w:before="100" w:beforeAutospacing="1" w:after="100" w:afterAutospacing="1"/>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4"/>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4</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rPr>
              <w:t xml:space="preserve">5</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w:t>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gridSpan w:val="7"/>
            <w:tcW w:w="500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室内摆花</w:t>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tcW w:w="366"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w:t>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3"/>
        </w:trPr>
        <w:tc>
          <w:tcPr>
            <w:gridSpan w:val="5"/>
            <w:tcW w:w="3542"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合计</w:t>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29"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ind w:firstLine="480"/>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注：投标报价明细表中的合计金额应与开标一览表投标总报价金额一致；否则，以开标一览表为准。</w:t>
      </w:r>
      <w:r/>
    </w:p>
    <w:p>
      <w:pP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628"/>
      </w:tblGrid>
      <w:tr>
        <w:trPr>
          <w:jc w:val="center"/>
          <w:trHeight w:val="3980"/>
        </w:trPr>
        <w:tc>
          <w:tcPr>
            <w:tcW w:w="5000" w:type="pct"/>
            <w:textDirection w:val="lrTb"/>
            <w:noWrap w:val="false"/>
          </w:tcPr>
          <w:p>
            <w:pPr>
              <w:jc w:val="left"/>
              <w:spacing w:line="360" w:lineRule="auto"/>
              <w:tabs>
                <w:tab w:val="left" w:pos="1320" w:leader="none"/>
              </w:tabs>
              <w:rPr>
                <w:rFonts w:hint="eastAsia"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供应商应根据本次采购项目要求，对服务实施方案等进行详细的说明与描述。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tc>
      </w:tr>
    </w:tbl>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line="360" w:lineRule="auto"/>
        <w:rPr>
          <w:rFonts w:hint="eastAsia" w:ascii="宋体" w:hAnsi="宋体" w:eastAsia="宋体" w:cs="宋体"/>
          <w:bCs/>
          <w:sz w:val="24"/>
          <w:szCs w:val="24"/>
          <w:shd w:val="clear" w:color="auto" w:fill="ffffff"/>
          <w:lang w:val="zh-CN"/>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6、服务或技术要求偏离表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3"/>
        <w:gridCol w:w="1440"/>
        <w:gridCol w:w="1806"/>
        <w:gridCol w:w="1606"/>
        <w:gridCol w:w="1895"/>
        <w:gridCol w:w="1958"/>
      </w:tblGrid>
      <w:tr>
        <w:trPr>
          <w:jc w:val="center"/>
          <w:trHeight w:val="474"/>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bl>
    <w:p>
      <w:pPr>
        <w:pStyle w:val="1023"/>
        <w:ind w:firstLine="520"/>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2、本表不作为响应单位对所响应标的物服务条款详细描述和说明的替代。</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7、商务要求偏离表</w:t>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3"/>
        <w:gridCol w:w="1440"/>
        <w:gridCol w:w="1806"/>
        <w:gridCol w:w="1606"/>
        <w:gridCol w:w="1895"/>
        <w:gridCol w:w="1958"/>
      </w:tblGrid>
      <w:tr>
        <w:trPr>
          <w:jc w:val="center"/>
          <w:trHeight w:val="474"/>
        </w:trPr>
        <w:tc>
          <w:tcPr>
            <w:tcW w:w="479"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74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38"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83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984"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textDirection w:val="lrTb"/>
            <w:noWrap w:val="false"/>
          </w:tcPr>
          <w:p>
            <w:pPr>
              <w:pStyle w:val="1143"/>
              <w:ind w:firstLine="0"/>
              <w:jc w:val="center"/>
              <w:rPr>
                <w:rFonts w:hint="eastAsia" w:ascii="宋体" w:hAnsi="宋体" w:eastAsia="宋体" w:cs="宋体"/>
                <w:szCs w:val="24"/>
              </w:rPr>
            </w:pPr>
            <w:r>
              <w:rPr>
                <w:rFonts w:hint="eastAsia" w:ascii="宋体" w:hAnsi="宋体" w:eastAsia="宋体" w:cs="宋体"/>
                <w:szCs w:val="24"/>
              </w:rPr>
            </w:r>
            <w:r/>
          </w:p>
        </w:tc>
      </w:tr>
    </w:tbl>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2、本表不作为响应单位对所响应标的物商务条款详细描述和说明的替代。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8、拟投入本项目人员配备一览表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拟投入本项目人员配备一览表</w:t>
      </w:r>
      <w:r/>
    </w:p>
    <w:p>
      <w:pPr>
        <w:jc w:val="center"/>
        <w:spacing w:line="360" w:lineRule="auto"/>
        <w:rPr>
          <w:rFonts w:hint="eastAsia" w:ascii="宋体" w:hAnsi="宋体" w:eastAsia="宋体" w:cs="宋体"/>
          <w:b/>
          <w:bCs/>
          <w:sz w:val="26"/>
          <w:szCs w:val="20"/>
        </w:rPr>
      </w:pPr>
      <w:r>
        <w:rPr>
          <w:rFonts w:hint="eastAsia" w:ascii="宋体" w:hAnsi="宋体" w:eastAsia="宋体" w:cs="宋体"/>
          <w:b/>
          <w:bCs/>
          <w:sz w:val="26"/>
          <w:szCs w:val="20"/>
        </w:rPr>
      </w:r>
      <w:r/>
    </w:p>
    <w:tbl>
      <w:tblPr>
        <w:tblpPr w:horzAnchor="margin" w:tblpXSpec="center" w:vertAnchor="text" w:tblpY="48" w:leftFromText="180" w:topFromText="0" w:rightFromText="180" w:bottomFromText="0"/>
        <w:tblW w:w="5089"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40"/>
        <w:gridCol w:w="1094"/>
        <w:gridCol w:w="1039"/>
        <w:gridCol w:w="807"/>
        <w:gridCol w:w="700"/>
        <w:gridCol w:w="839"/>
        <w:gridCol w:w="905"/>
        <w:gridCol w:w="1227"/>
        <w:gridCol w:w="1368"/>
        <w:gridCol w:w="980"/>
      </w:tblGrid>
      <w:tr>
        <w:trPr>
          <w:jc w:val="center"/>
          <w:trHeight w:val="851"/>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b/>
          <w:sz w:val="24"/>
          <w:szCs w:val="21"/>
        </w:rPr>
      </w:pPr>
      <w:r>
        <w:rPr>
          <w:rFonts w:hint="eastAsia" w:ascii="宋体" w:hAnsi="宋体" w:eastAsia="宋体" w:cs="宋体"/>
          <w:sz w:val="24"/>
          <w:szCs w:val="24"/>
        </w:rPr>
        <w:t xml:space="preserve">日期：　　　年　　月　　日</w:t>
      </w: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1"/>
        </w:rPr>
        <w:t xml:space="preserve">9、类似业绩情况表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W w:w="9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5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7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合同期</w:t>
            </w:r>
            <w:r/>
          </w:p>
        </w:tc>
        <w:tc>
          <w:tcPr>
            <w:tcW w:w="19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合同金额（万元）</w:t>
            </w:r>
            <w:r/>
          </w:p>
        </w:tc>
        <w:tc>
          <w:tcPr>
            <w:tcW w:w="19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5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7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25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7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25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7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25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7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5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7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25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7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7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7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9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992"/>
        <w:rPr>
          <w:rFonts w:hint="default"/>
        </w:rPr>
      </w:pPr>
      <w:r>
        <w:rPr>
          <w:rFonts w:hint="default"/>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10、资格证明文件</w:t>
      </w:r>
      <w:r/>
    </w:p>
    <w:p>
      <w:pPr>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ascii="宋体" w:hAnsi="宋体" w:eastAsia="宋体" w:cs="宋体"/>
          <w:sz w:val="24"/>
          <w:szCs w:val="20"/>
          <w:u w:val="single"/>
          <w:shd w:val="clear" w:color="auto" w:fill="ffffff"/>
        </w:rPr>
        <w:t xml:space="preserve">JSZC-320500-SZCH-G2025-0109</w:t>
      </w:r>
      <w:r>
        <w:rPr>
          <w:rFonts w:hint="eastAsia" w:ascii="宋体" w:hAnsi="宋体" w:eastAsia="宋体" w:cs="宋体"/>
          <w:sz w:val="24"/>
          <w:szCs w:val="20"/>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br w:type="page" w:clear="all"/>
      </w:r>
      <w:bookmarkStart w:id="56" w:name="_Hlk193378870"/>
      <w:r>
        <w:rPr>
          <w:rFonts w:hint="eastAsia" w:ascii="宋体" w:hAnsi="宋体" w:eastAsia="宋体" w:cs="宋体"/>
          <w:b/>
          <w:sz w:val="24"/>
          <w:szCs w:val="20"/>
          <w:shd w:val="clear" w:color="auto" w:fill="ffffff"/>
        </w:rPr>
        <w:t xml:space="preserve">（2）供应商基本情况表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80"/>
        <w:gridCol w:w="1995"/>
        <w:gridCol w:w="1527"/>
        <w:gridCol w:w="2109"/>
        <w:gridCol w:w="1017"/>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56"/>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（3）中小企业声明函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0"/>
          <w:u w:val="single"/>
          <w:shd w:val="clear" w:color="auto" w:fill="ffffff"/>
        </w:rPr>
        <w:t xml:space="preserve">苏州市虎丘山风景名胜区管理处</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2026年度日常环境布置用花</w:t>
      </w:r>
      <w:r>
        <w:rPr>
          <w:rFonts w:hint="eastAsia" w:ascii="宋体" w:hAnsi="宋体" w:eastAsia="宋体" w:cs="宋体"/>
          <w:sz w:val="24"/>
          <w:szCs w:val="20"/>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2026年度日常环境布置用花</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以上企业，不属于大企业的分支机构，不存在控股股东</w:t>
      </w:r>
      <w:r>
        <w:rPr>
          <w:rFonts w:hint="eastAsia" w:ascii="宋体" w:hAnsi="宋体" w:eastAsia="宋体" w:cs="宋体"/>
          <w:sz w:val="24"/>
          <w:szCs w:val="24"/>
          <w:shd w:val="clear" w:color="auto" w:fill="ffffff"/>
        </w:rPr>
        <w:t xml:space="preserve">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spacing w:line="380" w:lineRule="exact"/>
        <w:rPr>
          <w:rFonts w:hint="eastAsia"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hint="eastAsia"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spacing w:line="380" w:lineRule="exact"/>
        <w:rPr>
          <w:rFonts w:hint="eastAsia" w:ascii="宋体" w:hAnsi="宋体" w:eastAsia="宋体" w:cs="宋体"/>
          <w:szCs w:val="21"/>
          <w:lang w:val="zh-CN"/>
        </w:rPr>
      </w:pPr>
      <w:r>
        <w:rPr>
          <w:rFonts w:hint="eastAsia" w:ascii="宋体" w:hAnsi="宋体" w:eastAsia="宋体" w:cs="宋体"/>
          <w:szCs w:val="21"/>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（4）残疾人福利性单位声明函</w:t>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rPr>
          <w:rFonts w:hint="eastAsia" w:ascii="宋体" w:hAnsi="宋体" w:eastAsia="宋体" w:cs="宋体"/>
          <w:b/>
          <w:szCs w:val="21"/>
        </w:rPr>
      </w:pPr>
      <w:r>
        <w:rPr>
          <w:rFonts w:hint="eastAsia" w:ascii="宋体" w:hAnsi="宋体" w:eastAsia="宋体" w:cs="宋体"/>
          <w:b/>
          <w:szCs w:val="21"/>
        </w:rPr>
        <w:t xml:space="preserve">注：</w:t>
      </w:r>
      <w:bookmarkStart w:id="57" w:name="_Hlk158140990"/>
      <w:r>
        <w:rPr>
          <w:rFonts w:hint="eastAsia" w:ascii="宋体" w:hAnsi="宋体" w:eastAsia="宋体" w:cs="宋体"/>
          <w:b/>
          <w:szCs w:val="21"/>
        </w:rPr>
        <w:t xml:space="preserve">投标文件中的电子签章视为供应商对本声明进行了签署盖章并承担相应责任</w:t>
      </w:r>
      <w:bookmarkEnd w:id="57"/>
      <w:r>
        <w:rPr>
          <w:rFonts w:hint="eastAsia" w:ascii="宋体" w:hAnsi="宋体" w:eastAsia="宋体" w:cs="宋体"/>
          <w:b/>
          <w:szCs w:val="21"/>
        </w:rPr>
        <w:t xml:space="preserve">。</w:t>
      </w:r>
      <w:r/>
    </w:p>
    <w:p>
      <w:pPr>
        <w:rPr>
          <w:rFonts w:hint="eastAsia" w:ascii="宋体" w:hAnsi="宋体" w:eastAsia="宋体" w:cs="宋体"/>
          <w:b/>
          <w:szCs w:val="21"/>
        </w:rPr>
      </w:pPr>
      <w:r>
        <w:rPr>
          <w:rFonts w:hint="eastAsia" w:ascii="宋体" w:hAnsi="宋体" w:eastAsia="宋体" w:cs="宋体"/>
          <w:b/>
          <w:szCs w:val="21"/>
        </w:rPr>
        <w:br w:type="page" w:clear="all"/>
      </w:r>
      <w:r/>
    </w:p>
    <w:p>
      <w:pPr>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（5）供应商与其他单位存在直接控股、管理关系情况表</w:t>
      </w:r>
      <w:r/>
    </w:p>
    <w:p>
      <w:pPr>
        <w:jc w:val="center"/>
        <w:spacing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供应商与其他单位存在直接控股、管理关系情况表</w:t>
      </w:r>
      <w:r/>
    </w:p>
    <w:p>
      <w:pPr>
        <w:jc w:val="center"/>
        <w:spacing w:line="360" w:lineRule="auto"/>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p>
      <w:pPr>
        <w:ind w:firstLine="42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41"/>
        <w:gridCol w:w="1520"/>
        <w:gridCol w:w="1340"/>
        <w:gridCol w:w="1362"/>
        <w:gridCol w:w="1268"/>
        <w:gridCol w:w="1491"/>
        <w:gridCol w:w="1106"/>
      </w:tblGrid>
      <w:tr>
        <w:trPr>
          <w:jc w:val="center"/>
          <w:trHeight w:val="766"/>
        </w:trPr>
        <w:tc>
          <w:tcPr>
            <w:gridSpan w:val="4"/>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与供应商存在直接股权关系</w:t>
            </w:r>
            <w:r/>
          </w:p>
        </w:tc>
        <w:tc>
          <w:tcPr>
            <w:gridSpan w:val="3"/>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与供应商存在直接管理关系</w:t>
            </w:r>
            <w:r/>
          </w:p>
        </w:tc>
      </w:tr>
      <w:tr>
        <w:trPr>
          <w:jc w:val="center"/>
          <w:trHeight w:val="991"/>
        </w:trPr>
        <w:tc>
          <w:tcPr>
            <w:tcW w:w="1541"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520"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340"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是否直接控股</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362"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直接控股关系情况说明（持股比例等）</w:t>
            </w:r>
            <w:r/>
          </w:p>
        </w:tc>
        <w:tc>
          <w:tcPr>
            <w:tcW w:w="1268"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491" w:type="dxa"/>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0" w:type="auto"/>
            <w:vAlign w:val="center"/>
            <w:textDirection w:val="lrTb"/>
            <w:noWrap w:val="false"/>
          </w:tcPr>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直接管理关系情况说明</w:t>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0" w:type="auto"/>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注：1、本表仅须填写与供应商存在直接股权、管理关系的企业情况。供应商应按上表要求据实填写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如填写“无”或不填写，均视为供应商声明不存在有关情形。</w:t>
      </w:r>
      <w:r/>
    </w:p>
    <w:p>
      <w:pPr>
        <w:pStyle w:val="991"/>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2、其中“直接控股”是指供应商与大型企业之间存在直接投资并控股（非普通持股）的关系。</w:t>
      </w:r>
      <w:r/>
    </w:p>
    <w:p>
      <w:pPr>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58" w:name="_Toc105940240"/>
      <w:r/>
      <w:bookmarkStart w:id="59" w:name="_Toc13642115"/>
      <w:r>
        <w:rPr>
          <w:rFonts w:hint="eastAsia" w:ascii="宋体" w:hAnsi="宋体" w:eastAsia="宋体" w:cs="宋体"/>
          <w:b/>
          <w:sz w:val="52"/>
          <w:szCs w:val="20"/>
          <w:shd w:val="clear" w:color="auto" w:fill="ffffff"/>
        </w:rPr>
        <w:t xml:space="preserve">第四章 招标书</w:t>
      </w:r>
      <w:bookmarkEnd w:id="58"/>
      <w:r/>
      <w:bookmarkEnd w:id="59"/>
      <w:r/>
      <w:r/>
    </w:p>
    <w:p>
      <w:pPr>
        <w:jc w:val="center"/>
        <w:spacing w:line="360" w:lineRule="auto"/>
        <w:rPr>
          <w:rFonts w:hint="eastAsia" w:ascii="宋体" w:hAnsi="宋体" w:eastAsia="宋体" w:cs="宋体"/>
          <w:b/>
          <w:sz w:val="32"/>
          <w:szCs w:val="32"/>
          <w:shd w:val="clear" w:color="auto" w:fill="ffffff"/>
        </w:rPr>
      </w:pPr>
      <w:r/>
      <w:bookmarkStart w:id="60"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32"/>
          <w:szCs w:val="32"/>
          <w:shd w:val="clear" w:color="auto" w:fill="ffffff"/>
        </w:rPr>
        <w:t xml:space="preserve">招标书</w:t>
      </w:r>
      <w:bookmarkEnd w:id="60"/>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苏州诚和招投标咨询有限公司受苏州市虎丘山风景名胜区管理处的委托，就其所需的2026年度日常环境布置用花项目进行国内公开招标。</w:t>
      </w:r>
      <w:r>
        <w:rPr>
          <w:rFonts w:hint="eastAsia" w:ascii="宋体" w:hAnsi="宋体" w:eastAsia="宋体" w:cs="宋体"/>
          <w:sz w:val="24"/>
          <w:szCs w:val="24"/>
        </w:rPr>
        <w:t xml:space="preserve">欢迎符合条件的供应商</w:t>
      </w:r>
      <w:r>
        <w:rPr>
          <w:rFonts w:hint="eastAsia" w:ascii="宋体" w:hAnsi="宋体" w:eastAsia="宋体" w:cs="宋体"/>
          <w:sz w:val="24"/>
          <w:szCs w:val="24"/>
          <w:shd w:val="clear" w:color="auto" w:fill="ffffff"/>
        </w:rPr>
        <w:t xml:space="preserve">前来参加投标（响应）。</w:t>
      </w:r>
      <w:r/>
    </w:p>
    <w:p>
      <w:pPr>
        <w:ind w:firstLine="482"/>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1" w:name="OLE_LINK1"/>
      <w:r>
        <w:rPr>
          <w:rFonts w:ascii="宋体" w:hAnsi="宋体" w:eastAsia="宋体" w:cs="宋体"/>
          <w:sz w:val="24"/>
          <w:szCs w:val="24"/>
          <w:shd w:val="clear" w:color="auto" w:fill="ffffff"/>
        </w:rPr>
        <w:t xml:space="preserve">JSZC-320500-SZCH-G2025-0109</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（一）项目概况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为紧扣苏州市“花漾苏州”打造世界级旅游目的地的政策导向，通过花景讲好苏州故事，以高品质生态景观建设推动文旅产业高质量发展，实现生态效益与经济效益的统一。结合虎丘和枫桥两个景区的历史文化特色、季节变化以及现代审美需求，拟采购2026年度日常环境布置用花，包括营造花境类（一年至少4次）和室内摆花（一年至少12次）。</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1、主题定位：“古韵新景，花映园林”。用花卉植物语言，诠释虎丘的“吴中第一山”之雄奇与历史厚重感，以及枫桥的“诗韵钟声”之婉约与人文意境。</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2、设计要求</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（1）文化契合：花卉选择与配置需与景区的历史文化主题紧密呼应。</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（2）季相分明：确保四季有景，三季有花，突出当季特色。</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（3）层次丰富：结合地栽、盆栽、悬挂花篮、花箱等多种呈现形式，形成立体绿化效果。</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（4）生态可持续：优先选用适应苏州地区气候的乡土植物和节水耐候品种，降低维护成本。</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（5）色彩协调：色彩搭配与古建、水景、山林的环境色相协调，避免过于艳俗。</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6）风格协调：虎丘景区——山林古塔，花卉增辉，整体风格更偏向于大气、古朴和雅致。用花应起到“点睛”作用，而非“喧宾夺主”。枫桥景区——水乡诗画，花语传情，整体风格更偏向于水乡的灵动、诗意和市井风情。用花应更显野趣、自然和亲切。</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（二）布花点位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1、2026年虎丘和枫桥景区（营造花境类）用花统计表</w:t>
      </w:r>
      <w:r/>
    </w:p>
    <w:tbl>
      <w:tblPr>
        <w:tblW w:w="5003" w:type="pct"/>
        <w:jc w:val="center"/>
        <w:tblLook w:val="04A0" w:firstRow="1" w:lastRow="0" w:firstColumn="1" w:lastColumn="0" w:noHBand="0" w:noVBand="1"/>
      </w:tblPr>
      <w:tblGrid>
        <w:gridCol w:w="802"/>
        <w:gridCol w:w="1087"/>
        <w:gridCol w:w="3493"/>
        <w:gridCol w:w="2915"/>
        <w:gridCol w:w="1337"/>
      </w:tblGrid>
      <w:tr>
        <w:trPr>
          <w:jc w:val="center"/>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黑体"/>
                <w:szCs w:val="21"/>
                <w:lang w:bidi="ar"/>
              </w:rPr>
            </w:pPr>
            <w:r>
              <w:rPr>
                <w:rFonts w:hint="eastAsia" w:ascii="宋体" w:hAnsi="宋体" w:eastAsia="宋体" w:cs="黑体"/>
                <w:szCs w:val="21"/>
                <w:lang w:bidi="ar"/>
              </w:rPr>
              <w:t xml:space="preserve">2026年虎丘和枫桥景区（营造花境类）用花统计表</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黑体"/>
                <w:szCs w:val="21"/>
              </w:rPr>
            </w:pPr>
            <w:r>
              <w:rPr>
                <w:rFonts w:hint="eastAsia" w:ascii="宋体" w:hAnsi="宋体" w:eastAsia="宋体" w:cs="黑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黑体"/>
                <w:szCs w:val="21"/>
              </w:rPr>
            </w:pPr>
            <w:r>
              <w:rPr>
                <w:rFonts w:hint="eastAsia" w:ascii="宋体" w:hAnsi="宋体" w:eastAsia="宋体" w:cs="黑体"/>
                <w:szCs w:val="21"/>
                <w:lang w:bidi="ar"/>
              </w:rPr>
              <w:t xml:space="preserve">景区</w:t>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jc w:val="center"/>
              <w:rPr>
                <w:rFonts w:hint="eastAsia" w:ascii="宋体" w:hAnsi="宋体" w:eastAsia="宋体" w:cs="黑体"/>
                <w:szCs w:val="21"/>
              </w:rPr>
            </w:pPr>
            <w:r>
              <w:rPr>
                <w:rFonts w:hint="eastAsia" w:ascii="宋体" w:hAnsi="宋体" w:eastAsia="宋体" w:cs="黑体"/>
                <w:szCs w:val="21"/>
                <w:lang w:bidi="ar"/>
              </w:rPr>
              <w:t xml:space="preserve">布花点位</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center"/>
              <w:rPr>
                <w:rFonts w:hint="eastAsia" w:ascii="宋体" w:hAnsi="宋体" w:eastAsia="宋体" w:cs="黑体"/>
                <w:szCs w:val="21"/>
              </w:rPr>
            </w:pPr>
            <w:r>
              <w:rPr>
                <w:rFonts w:hint="eastAsia" w:ascii="宋体" w:hAnsi="宋体" w:eastAsia="宋体" w:cs="黑体"/>
                <w:szCs w:val="21"/>
                <w:lang w:bidi="ar"/>
              </w:rPr>
              <w:t xml:space="preserve">布花方式</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黑体"/>
                <w:szCs w:val="21"/>
                <w:lang w:bidi="ar"/>
              </w:rPr>
            </w:pPr>
            <w:r>
              <w:rPr>
                <w:rFonts w:hint="eastAsia" w:ascii="宋体" w:hAnsi="宋体" w:eastAsia="宋体" w:cs="黑体"/>
                <w:szCs w:val="21"/>
                <w:lang w:bidi="ar"/>
              </w:rPr>
              <w:t xml:space="preserve">预估面积</w:t>
            </w:r>
            <w:r/>
          </w:p>
          <w:p>
            <w:pPr>
              <w:jc w:val="center"/>
              <w:rPr>
                <w:rFonts w:hint="eastAsia" w:ascii="宋体" w:hAnsi="宋体" w:eastAsia="宋体" w:cs="黑体"/>
                <w:szCs w:val="21"/>
              </w:rPr>
            </w:pPr>
            <w:r>
              <w:rPr>
                <w:rFonts w:hint="eastAsia" w:ascii="宋体" w:hAnsi="宋体" w:eastAsia="宋体" w:cs="黑体"/>
                <w:szCs w:val="21"/>
                <w:lang w:bidi="ar"/>
              </w:rPr>
              <w:t xml:space="preserve">（约㎡）</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虎</w:t>
            </w:r>
            <w:r>
              <w:rPr>
                <w:rStyle w:val="1138"/>
                <w:rFonts w:hint="default"/>
                <w:color w:val="auto"/>
                <w:sz w:val="21"/>
                <w:szCs w:val="21"/>
                <w:lang w:bidi="ar"/>
              </w:rPr>
              <w:t xml:space="preserve">丘景区</w:t>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财神道花箱</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25</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管理处门口花箱</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南门丰巢柜子处花箱</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南门检票口外部东侧</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盆花立体摆花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海涌桥北面两侧河坡</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花境种植</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160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断梁殿前大运河遗产点牌子处</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花境种植</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断梁殿前方东南侧至售票亭处</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花境种植</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断梁殿西侧小吃商铺后面</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拥翠山庄前方地面</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冷香阁厕所前方</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花境种植</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32</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万景山庄盆景园区域</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花境种植</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双井桥三角区</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花境种植+盆花高</w:t>
            </w:r>
            <w:r>
              <w:rPr>
                <w:rStyle w:val="1136"/>
                <w:rFonts w:hint="default"/>
                <w:b w:val="0"/>
                <w:bCs w:val="0"/>
                <w:color w:val="auto"/>
                <w:sz w:val="21"/>
                <w:szCs w:val="21"/>
                <w:lang w:bidi="ar"/>
              </w:rPr>
              <w:t xml:space="preserve">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塔院平台</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花境种植+盆花高</w:t>
            </w:r>
            <w:r>
              <w:rPr>
                <w:rStyle w:val="1136"/>
                <w:rFonts w:hint="default"/>
                <w:b w:val="0"/>
                <w:bCs w:val="0"/>
                <w:color w:val="auto"/>
                <w:sz w:val="21"/>
                <w:szCs w:val="21"/>
                <w:lang w:bidi="ar"/>
              </w:rPr>
              <w:t xml:space="preserve">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塔院平台东侧商铺后面</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花境种植+盆花高</w:t>
            </w:r>
            <w:r>
              <w:rPr>
                <w:rStyle w:val="1136"/>
                <w:rFonts w:hint="default"/>
                <w:b w:val="0"/>
                <w:bCs w:val="0"/>
                <w:color w:val="auto"/>
                <w:sz w:val="21"/>
                <w:szCs w:val="21"/>
                <w:lang w:bidi="ar"/>
              </w:rPr>
              <w:t xml:space="preserve">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非遗馆门口两边</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不波艇商户门口</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整体盆花组合呈</w:t>
            </w:r>
            <w:r>
              <w:rPr>
                <w:rStyle w:val="1136"/>
                <w:rFonts w:hint="default"/>
                <w:b w:val="0"/>
                <w:bCs w:val="0"/>
                <w:color w:val="auto"/>
                <w:sz w:val="21"/>
                <w:szCs w:val="21"/>
                <w:lang w:bidi="ar"/>
              </w:rPr>
              <w:t xml:space="preserve">现花境</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北门樱花林东片区域</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花带形式花境种</w:t>
            </w:r>
            <w:r>
              <w:rPr>
                <w:rStyle w:val="1136"/>
                <w:rFonts w:hint="default"/>
                <w:b w:val="0"/>
                <w:bCs w:val="0"/>
                <w:color w:val="auto"/>
                <w:sz w:val="21"/>
                <w:szCs w:val="21"/>
                <w:lang w:bidi="ar"/>
              </w:rPr>
              <w:t xml:space="preserve">植</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550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北门樱花林西片区域</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花带形式花境种</w:t>
            </w:r>
            <w:r>
              <w:rPr>
                <w:rStyle w:val="1136"/>
                <w:rFonts w:hint="default"/>
                <w:b w:val="0"/>
                <w:bCs w:val="0"/>
                <w:color w:val="auto"/>
                <w:sz w:val="21"/>
                <w:szCs w:val="21"/>
                <w:lang w:bidi="ar"/>
              </w:rPr>
              <w:t xml:space="preserve">植</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550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19</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北门虎丘世界文化遗产处</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盆花高低摆花/盆</w:t>
            </w:r>
            <w:r>
              <w:rPr>
                <w:rStyle w:val="1136"/>
                <w:rFonts w:hint="default"/>
                <w:b w:val="0"/>
                <w:bCs w:val="0"/>
                <w:color w:val="auto"/>
                <w:sz w:val="21"/>
                <w:szCs w:val="21"/>
                <w:lang w:bidi="ar"/>
              </w:rPr>
              <w:t xml:space="preserve">花立体摆花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北门吴天蓬朗台阶两侧</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北门游客中心室内区域</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北门游客中心外部党建精神堡垒处</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盆花高低摆花/盆</w:t>
            </w:r>
            <w:r>
              <w:rPr>
                <w:rStyle w:val="1136"/>
                <w:rFonts w:hint="default"/>
                <w:b w:val="0"/>
                <w:bCs w:val="0"/>
                <w:color w:val="auto"/>
                <w:sz w:val="21"/>
                <w:szCs w:val="21"/>
                <w:lang w:bidi="ar"/>
              </w:rPr>
              <w:t xml:space="preserve">花立体摆花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其他预留点位：塔影园望山楼东侧</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花带形式花境种</w:t>
            </w:r>
            <w:r>
              <w:rPr>
                <w:rStyle w:val="1136"/>
                <w:rFonts w:hint="default"/>
                <w:b w:val="0"/>
                <w:bCs w:val="0"/>
                <w:color w:val="auto"/>
                <w:sz w:val="21"/>
                <w:szCs w:val="21"/>
                <w:lang w:bidi="ar"/>
              </w:rPr>
              <w:t xml:space="preserve">植</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其他预留点位：塔影园塔影榭区域</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其他预留点位：李鸿章祠堂出口区域/憩园出口区域</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其他预留点位：花神苑陆羽楼门口</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27</w:t>
            </w:r>
            <w:r/>
          </w:p>
        </w:tc>
        <w:tc>
          <w:tcPr>
            <w:tcBorders>
              <w:top w:val="single" w:color="000000" w:sz="4" w:space="0"/>
              <w:left w:val="single" w:color="000000" w:sz="4" w:space="0"/>
              <w:right w:val="single" w:color="000000" w:sz="4" w:space="0"/>
            </w:tcBorders>
            <w:tcW w:w="564" w:type="pct"/>
            <w:vAlign w:val="center"/>
            <w:vMerge w:val="restart"/>
            <w:textDirection w:val="lrTb"/>
            <w:noWrap w:val="false"/>
          </w:tcPr>
          <w:p>
            <w:pPr>
              <w:jc w:val="center"/>
              <w:rPr>
                <w:rStyle w:val="1138"/>
                <w:rFonts w:hint="default"/>
                <w:color w:val="auto"/>
                <w:sz w:val="21"/>
                <w:szCs w:val="21"/>
                <w:lang w:bidi="ar"/>
              </w:rPr>
            </w:pPr>
            <w:r>
              <w:rPr>
                <w:rFonts w:hint="eastAsia" w:ascii="宋体" w:hAnsi="宋体" w:eastAsia="宋体" w:cs="宋体"/>
                <w:szCs w:val="21"/>
                <w:lang w:bidi="ar"/>
              </w:rPr>
              <w:t xml:space="preserve">枫</w:t>
            </w:r>
            <w:r>
              <w:rPr>
                <w:rStyle w:val="1138"/>
                <w:rFonts w:hint="default"/>
                <w:color w:val="auto"/>
                <w:sz w:val="21"/>
                <w:szCs w:val="21"/>
                <w:lang w:bidi="ar"/>
              </w:rPr>
              <w:t xml:space="preserve">桥景区</w:t>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办公区门口外边3个花池</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花境种植</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28</w:t>
            </w:r>
            <w:r/>
          </w:p>
        </w:tc>
        <w:tc>
          <w:tcPr>
            <w:tcBorders>
              <w:left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东门外部广场</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盆花高低摆花/盆</w:t>
            </w:r>
            <w:r>
              <w:rPr>
                <w:rStyle w:val="1136"/>
                <w:rFonts w:hint="default"/>
                <w:b w:val="0"/>
                <w:bCs w:val="0"/>
                <w:color w:val="auto"/>
                <w:sz w:val="21"/>
                <w:szCs w:val="21"/>
                <w:lang w:bidi="ar"/>
              </w:rPr>
              <w:t xml:space="preserve">花立体摆花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29</w:t>
            </w:r>
            <w:r/>
          </w:p>
        </w:tc>
        <w:tc>
          <w:tcPr>
            <w:tcBorders>
              <w:left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东门内部厕所旁草坪区域</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盆花高低摆花/盆</w:t>
            </w:r>
            <w:r>
              <w:rPr>
                <w:rStyle w:val="1136"/>
                <w:rFonts w:hint="default"/>
                <w:b w:val="0"/>
                <w:bCs w:val="0"/>
                <w:color w:val="auto"/>
                <w:sz w:val="21"/>
                <w:szCs w:val="21"/>
                <w:lang w:bidi="ar"/>
              </w:rPr>
              <w:t xml:space="preserve">花立体摆花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30</w:t>
            </w:r>
            <w:r/>
          </w:p>
        </w:tc>
        <w:tc>
          <w:tcPr>
            <w:tcBorders>
              <w:left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戏台两侧树池</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盆花高低摆花/盆</w:t>
            </w:r>
            <w:r>
              <w:rPr>
                <w:rStyle w:val="1136"/>
                <w:rFonts w:hint="default"/>
                <w:b w:val="0"/>
                <w:bCs w:val="0"/>
                <w:color w:val="auto"/>
                <w:sz w:val="21"/>
                <w:szCs w:val="21"/>
                <w:lang w:bidi="ar"/>
              </w:rPr>
              <w:t xml:space="preserve">花立体摆花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78</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31</w:t>
            </w:r>
            <w:r/>
          </w:p>
        </w:tc>
        <w:tc>
          <w:tcPr>
            <w:tcBorders>
              <w:left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铁铃关两侧</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盆花高低摆花/盆</w:t>
            </w:r>
            <w:r>
              <w:rPr>
                <w:rStyle w:val="1136"/>
                <w:rFonts w:hint="default"/>
                <w:b w:val="0"/>
                <w:bCs w:val="0"/>
                <w:color w:val="auto"/>
                <w:sz w:val="21"/>
                <w:szCs w:val="21"/>
                <w:lang w:bidi="ar"/>
              </w:rPr>
              <w:t xml:space="preserve">花立体摆花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16</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32</w:t>
            </w:r>
            <w:r/>
          </w:p>
        </w:tc>
        <w:tc>
          <w:tcPr>
            <w:tcBorders>
              <w:left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寒山楼码头25个花箱</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33</w:t>
            </w:r>
            <w:r/>
          </w:p>
        </w:tc>
        <w:tc>
          <w:tcPr>
            <w:tcBorders>
              <w:left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红馆内部</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盆花高低摆花</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34</w:t>
            </w:r>
            <w:r/>
          </w:p>
        </w:tc>
        <w:tc>
          <w:tcPr>
            <w:tcBorders>
              <w:left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8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其他预留点位：根据突发实际需求</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bidi="ar"/>
              </w:rPr>
              <w:t xml:space="preserve">按实际现场条件</w:t>
            </w:r>
            <w:r>
              <w:rPr>
                <w:rStyle w:val="1136"/>
                <w:rFonts w:hint="default"/>
                <w:b w:val="0"/>
                <w:bCs w:val="0"/>
                <w:color w:val="auto"/>
                <w:sz w:val="21"/>
                <w:szCs w:val="21"/>
                <w:lang w:bidi="ar"/>
              </w:rPr>
              <w:t xml:space="preserve">布置</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20</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t xml:space="preserve">注：</w:t>
            </w:r>
            <w:r>
              <w:rPr>
                <w:rFonts w:ascii="宋体" w:hAnsi="宋体" w:eastAsia="宋体"/>
                <w:spacing w:val="-1"/>
                <w:szCs w:val="21"/>
              </w:rPr>
              <w:t xml:space="preserve">最终</w:t>
            </w:r>
            <w:r>
              <w:rPr>
                <w:rFonts w:hint="eastAsia" w:ascii="宋体" w:hAnsi="宋体" w:eastAsia="宋体"/>
                <w:spacing w:val="-1"/>
                <w:szCs w:val="21"/>
              </w:rPr>
              <w:t xml:space="preserve">结算审核以方案中苗木品种、规格、数量、</w:t>
            </w:r>
            <w:r>
              <w:rPr>
                <w:rFonts w:ascii="宋体" w:hAnsi="宋体" w:eastAsia="宋体"/>
                <w:spacing w:val="-1"/>
                <w:szCs w:val="21"/>
              </w:rPr>
              <w:t xml:space="preserve">补</w:t>
            </w:r>
            <w:r>
              <w:rPr>
                <w:rFonts w:hint="eastAsia" w:ascii="宋体" w:hAnsi="宋体" w:eastAsia="宋体"/>
                <w:spacing w:val="-1"/>
                <w:szCs w:val="21"/>
              </w:rPr>
              <w:t xml:space="preserve">种或补摆</w:t>
            </w:r>
            <w:r>
              <w:rPr>
                <w:rFonts w:ascii="宋体" w:hAnsi="宋体" w:eastAsia="宋体"/>
                <w:spacing w:val="-1"/>
                <w:szCs w:val="21"/>
              </w:rPr>
              <w:t xml:space="preserve">数量</w:t>
            </w:r>
            <w:r>
              <w:rPr>
                <w:rFonts w:hint="eastAsia" w:ascii="宋体" w:hAnsi="宋体" w:eastAsia="宋体"/>
                <w:spacing w:val="-1"/>
                <w:szCs w:val="21"/>
              </w:rPr>
              <w:t xml:space="preserve">进行</w:t>
            </w:r>
            <w:r>
              <w:rPr>
                <w:rFonts w:ascii="宋体" w:hAnsi="宋体" w:eastAsia="宋体"/>
                <w:spacing w:val="-1"/>
                <w:szCs w:val="21"/>
              </w:rPr>
              <w:t xml:space="preserve">结算</w:t>
            </w:r>
            <w:r>
              <w:rPr>
                <w:rFonts w:hint="eastAsia" w:ascii="宋体" w:hAnsi="宋体" w:eastAsia="宋体"/>
                <w:spacing w:val="-1"/>
                <w:szCs w:val="21"/>
              </w:rPr>
              <w:t xml:space="preserve">。</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2、地栽密度要求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为打造可持续的生态景观，平衡“即时效果”与“长期长势”，并控制后期维护成本，总体遵循以下策略。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（1）结构性区域（如南门检票口、北门虎丘世界文化遗产处）：采用“中高密度”，确保主要观赏期内的饱满效果。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（2）过渡性及自然化区域（如冷香阁厕所旁、樱花林下）：采用“中低密度”，为植物留出自然生长空间，营造疏朗野趣。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（3）骨架木本及大型宿根：按成熟冠幅“单株点植”，保证其个体美与生长空间，全年轮换种植时，骨架木本及大型宿根基本保持不变。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（4）填充型宿根及观赏草：按成熟冠幅的70%-80%计算密度。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（5）季节性时花：按“即时100%覆盖”的饱满密度（通常较高）进行布置，用于重点区域点缀。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（6）地栽密度指引参考表</w:t>
      </w:r>
      <w:r/>
    </w:p>
    <w:tbl>
      <w:tblPr>
        <w:tblStyle w:val="1024"/>
        <w:tblW w:w="9763" w:type="dxa"/>
        <w:jc w:val="center"/>
        <w:tblLook w:val="04A0" w:firstRow="1" w:lastRow="0" w:firstColumn="1" w:lastColumn="0" w:noHBand="0" w:noVBand="1"/>
      </w:tblPr>
      <w:tblGrid>
        <w:gridCol w:w="1542"/>
        <w:gridCol w:w="1275"/>
        <w:gridCol w:w="2459"/>
        <w:gridCol w:w="2361"/>
        <w:gridCol w:w="2126"/>
      </w:tblGrid>
      <w:tr>
        <w:trPr>
          <w:jc w:val="center"/>
        </w:trPr>
        <w:tc>
          <w:tcPr>
            <w:tcW w:w="1542" w:type="dxa"/>
            <w:vAlign w:val="center"/>
            <w:textDirection w:val="lrTb"/>
            <w:noWrap w:val="false"/>
          </w:tcPr>
          <w:p>
            <w:pPr>
              <w:jc w:val="center"/>
              <w:widowControl/>
              <w:rPr>
                <w:rFonts w:hint="eastAsia" w:cs="黑体" w:asciiTheme="minorEastAsia" w:hAnsiTheme="minorEastAsia"/>
                <w:szCs w:val="21"/>
                <w:lang w:bidi="ar"/>
              </w:rPr>
            </w:pPr>
            <w:r>
              <w:rPr>
                <w:rFonts w:hint="eastAsia" w:cs="黑体" w:asciiTheme="minorEastAsia" w:hAnsiTheme="minorEastAsia"/>
                <w:szCs w:val="21"/>
                <w:lang w:bidi="ar"/>
              </w:rPr>
              <w:t xml:space="preserve">点位属性编号与名称</w:t>
            </w:r>
            <w:r/>
          </w:p>
        </w:tc>
        <w:tc>
          <w:tcPr>
            <w:tcW w:w="1275" w:type="dxa"/>
            <w:vAlign w:val="center"/>
            <w:textDirection w:val="lrTb"/>
            <w:noWrap w:val="false"/>
          </w:tcPr>
          <w:p>
            <w:pPr>
              <w:jc w:val="center"/>
              <w:widowControl/>
              <w:rPr>
                <w:rFonts w:hint="eastAsia" w:cs="黑体" w:asciiTheme="minorEastAsia" w:hAnsiTheme="minorEastAsia"/>
                <w:szCs w:val="21"/>
                <w:lang w:bidi="ar"/>
              </w:rPr>
            </w:pPr>
            <w:r>
              <w:rPr>
                <w:rFonts w:hint="eastAsia" w:cs="黑体" w:asciiTheme="minorEastAsia" w:hAnsiTheme="minorEastAsia"/>
                <w:szCs w:val="21"/>
                <w:lang w:bidi="ar"/>
              </w:rPr>
              <w:t xml:space="preserve">功能定位</w:t>
            </w:r>
            <w:r/>
          </w:p>
        </w:tc>
        <w:tc>
          <w:tcPr>
            <w:tcW w:w="2459" w:type="dxa"/>
            <w:vAlign w:val="center"/>
            <w:textDirection w:val="lrTb"/>
            <w:noWrap w:val="false"/>
          </w:tcPr>
          <w:p>
            <w:pPr>
              <w:jc w:val="center"/>
              <w:widowControl/>
              <w:rPr>
                <w:rFonts w:hint="eastAsia" w:cs="黑体" w:asciiTheme="minorEastAsia" w:hAnsiTheme="minorEastAsia"/>
                <w:szCs w:val="21"/>
                <w:lang w:bidi="ar"/>
              </w:rPr>
            </w:pPr>
            <w:r>
              <w:rPr>
                <w:rFonts w:hint="eastAsia" w:cs="黑体" w:asciiTheme="minorEastAsia" w:hAnsiTheme="minorEastAsia"/>
                <w:szCs w:val="21"/>
                <w:lang w:bidi="ar"/>
              </w:rPr>
              <w:t xml:space="preserve">骨架/大型植物密度策略</w:t>
            </w:r>
            <w:r/>
          </w:p>
        </w:tc>
        <w:tc>
          <w:tcPr>
            <w:tcW w:w="2361" w:type="dxa"/>
            <w:vAlign w:val="center"/>
            <w:textDirection w:val="lrTb"/>
            <w:noWrap w:val="false"/>
          </w:tcPr>
          <w:p>
            <w:pPr>
              <w:jc w:val="center"/>
              <w:widowControl/>
              <w:rPr>
                <w:rFonts w:hint="eastAsia" w:cs="黑体" w:asciiTheme="minorEastAsia" w:hAnsiTheme="minorEastAsia"/>
                <w:szCs w:val="21"/>
                <w:lang w:bidi="ar"/>
              </w:rPr>
            </w:pPr>
            <w:r>
              <w:rPr>
                <w:rFonts w:hint="eastAsia" w:cs="黑体" w:asciiTheme="minorEastAsia" w:hAnsiTheme="minorEastAsia"/>
                <w:szCs w:val="21"/>
                <w:lang w:bidi="ar"/>
              </w:rPr>
              <w:t xml:space="preserve">中层填充植物密度策略</w:t>
            </w:r>
            <w:r/>
          </w:p>
        </w:tc>
        <w:tc>
          <w:tcPr>
            <w:tcW w:w="2126" w:type="dxa"/>
            <w:vAlign w:val="center"/>
            <w:textDirection w:val="lrTb"/>
            <w:noWrap w:val="false"/>
          </w:tcPr>
          <w:p>
            <w:pPr>
              <w:jc w:val="center"/>
              <w:widowControl/>
              <w:rPr>
                <w:rFonts w:hint="eastAsia" w:cs="黑体" w:asciiTheme="minorEastAsia" w:hAnsiTheme="minorEastAsia"/>
                <w:szCs w:val="21"/>
                <w:lang w:bidi="ar"/>
              </w:rPr>
            </w:pPr>
            <w:r>
              <w:rPr>
                <w:rFonts w:hint="eastAsia" w:cs="黑体" w:asciiTheme="minorEastAsia" w:hAnsiTheme="minorEastAsia"/>
                <w:szCs w:val="21"/>
                <w:lang w:bidi="ar"/>
              </w:rPr>
              <w:t xml:space="preserve">季节性时花密度策略</w:t>
            </w:r>
            <w:r/>
          </w:p>
        </w:tc>
      </w:tr>
      <w:tr>
        <w:trPr>
          <w:jc w:val="center"/>
        </w:trPr>
        <w:tc>
          <w:tcPr>
            <w:tcW w:w="1542"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P-01属于主入口或广场的</w:t>
            </w:r>
            <w:r/>
          </w:p>
        </w:tc>
        <w:tc>
          <w:tcPr>
            <w:tcW w:w="1275"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形象展示，要求精致、长效</w:t>
            </w:r>
            <w:r/>
          </w:p>
        </w:tc>
        <w:tc>
          <w:tcPr>
            <w:tcW w:w="2459"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低密度1-2株/㎡，如：孤赏球类、精品造型树</w:t>
            </w:r>
            <w:r/>
          </w:p>
        </w:tc>
        <w:tc>
          <w:tcPr>
            <w:tcW w:w="2361"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中高密度9-16株/㎡，如：整齐的观赏草、常绿宿根</w:t>
            </w:r>
            <w:r/>
          </w:p>
        </w:tc>
        <w:tc>
          <w:tcPr>
            <w:tcW w:w="2126"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高密度16-25株/㎡，用于打造持久性色图案</w:t>
            </w:r>
            <w:r/>
          </w:p>
        </w:tc>
      </w:tr>
      <w:tr>
        <w:trPr>
          <w:jc w:val="center"/>
        </w:trPr>
        <w:tc>
          <w:tcPr>
            <w:tcW w:w="1542"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P-02属于核心建筑或核心水景旁的</w:t>
            </w:r>
            <w:r/>
          </w:p>
        </w:tc>
        <w:tc>
          <w:tcPr>
            <w:tcW w:w="1275"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视觉焦点，柔化边界</w:t>
            </w:r>
            <w:r/>
          </w:p>
        </w:tc>
        <w:tc>
          <w:tcPr>
            <w:tcW w:w="2459"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中密度3-5株/㎡，如：组团种植的彩叶灌木</w:t>
            </w:r>
            <w:r/>
          </w:p>
        </w:tc>
        <w:tc>
          <w:tcPr>
            <w:tcW w:w="2361"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中密度6-12株/㎡，如：飘逸的线性植物</w:t>
            </w:r>
            <w:r/>
          </w:p>
        </w:tc>
        <w:tc>
          <w:tcPr>
            <w:tcW w:w="2126"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中密度9-16株/㎡，用于节点点缀提升色彩</w:t>
            </w:r>
            <w:r/>
          </w:p>
        </w:tc>
      </w:tr>
      <w:tr>
        <w:trPr>
          <w:jc w:val="center"/>
        </w:trPr>
        <w:tc>
          <w:tcPr>
            <w:tcW w:w="1542"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P-03属于景区内漫游步道两侧的</w:t>
            </w:r>
            <w:r/>
          </w:p>
        </w:tc>
        <w:tc>
          <w:tcPr>
            <w:tcW w:w="1275"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引导与体验，自然野趣</w:t>
            </w:r>
            <w:r/>
          </w:p>
        </w:tc>
        <w:tc>
          <w:tcPr>
            <w:tcW w:w="2459"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低密度1-2株/㎡，如：点植小乔木形成节奏</w:t>
            </w:r>
            <w:r/>
          </w:p>
        </w:tc>
        <w:tc>
          <w:tcPr>
            <w:tcW w:w="2361"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中低密度5-9株/㎡，如：成片种植的耐阴宿根、地被</w:t>
            </w:r>
            <w:r/>
          </w:p>
        </w:tc>
        <w:tc>
          <w:tcPr>
            <w:tcW w:w="2126"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低密度或不用，依靠宿根花卉提供季相变化</w:t>
            </w:r>
            <w:r/>
          </w:p>
        </w:tc>
      </w:tr>
      <w:tr>
        <w:trPr>
          <w:jc w:val="center"/>
        </w:trPr>
        <w:tc>
          <w:tcPr>
            <w:tcW w:w="1542"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P-04属于休憩平台周边的</w:t>
            </w:r>
            <w:r/>
          </w:p>
        </w:tc>
        <w:tc>
          <w:tcPr>
            <w:tcW w:w="1275"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近人尺度，细腻精致</w:t>
            </w:r>
            <w:r/>
          </w:p>
        </w:tc>
        <w:tc>
          <w:tcPr>
            <w:tcW w:w="2459"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中密度3-5株/㎡，如：芳香灌木、造型小品</w:t>
            </w:r>
            <w:r/>
          </w:p>
        </w:tc>
        <w:tc>
          <w:tcPr>
            <w:tcW w:w="2361"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中高密度9-16株/㎡，如：质感细腻的观赏草、宿根</w:t>
            </w:r>
            <w:r/>
          </w:p>
        </w:tc>
        <w:tc>
          <w:tcPr>
            <w:tcW w:w="2126" w:type="dxa"/>
            <w:vAlign w:val="center"/>
            <w:textDirection w:val="lrTb"/>
            <w:noWrap w:val="false"/>
          </w:tcPr>
          <w:p>
            <w:pP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中高密度12-20株/㎡，用于盆栽组合，灵活更换</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上述地栽密度指引参考表，是基于标准苗木规格与正常养护水平。施工时，可根据到场苗木的实际冠幅，在建议范围内进行±10%的微调，以确保最佳现场效果，骨架植物的定位需严格按现场具体审批方案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3、摆花密度要求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（1）与地栽花境需要预留生长空间不同，摆花需要遵循的目标是在摆放完成的瞬间，花卉的冠幅就能将容器（或花盆）完全覆盖，形成饱满、无缝隙的花卉色块。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摆花造型所使用的植物在高度与冠幅上存在显著差异，为达到统一饱满的即时效果，我们将按不同规格的容器进行分类，并设定各自的基准密度。基本原则是，植物的成熟冠幅应大于或等于容器口径，以达到完全覆盖的效果。</w:t>
      </w:r>
      <w:r/>
    </w:p>
    <w:tbl>
      <w:tblPr>
        <w:tblStyle w:val="1024"/>
        <w:tblW w:w="5000" w:type="pct"/>
        <w:jc w:val="center"/>
        <w:tblLook w:val="04A0" w:firstRow="1" w:lastRow="0" w:firstColumn="1" w:lastColumn="0" w:noHBand="0" w:noVBand="1"/>
      </w:tblPr>
      <w:tblGrid>
        <w:gridCol w:w="1632"/>
        <w:gridCol w:w="1442"/>
        <w:gridCol w:w="1993"/>
        <w:gridCol w:w="1307"/>
        <w:gridCol w:w="3254"/>
      </w:tblGrid>
      <w:tr>
        <w:trPr>
          <w:jc w:val="center"/>
        </w:trPr>
        <w:tc>
          <w:tcPr>
            <w:tcW w:w="847" w:type="pct"/>
            <w:vAlign w:val="center"/>
            <w:textDirection w:val="lrTb"/>
            <w:noWrap w:val="false"/>
          </w:tcPr>
          <w:p>
            <w:pPr>
              <w:jc w:val="center"/>
              <w:widowControl/>
              <w:rPr>
                <w:rFonts w:hint="eastAsia" w:ascii="宋体" w:hAnsi="宋体" w:eastAsia="宋体" w:cs="黑体"/>
                <w:szCs w:val="21"/>
                <w:lang w:bidi="ar"/>
              </w:rPr>
            </w:pPr>
            <w:r>
              <w:rPr>
                <w:rFonts w:hint="eastAsia" w:ascii="宋体" w:hAnsi="宋体" w:eastAsia="宋体" w:cs="黑体"/>
                <w:szCs w:val="21"/>
                <w:lang w:bidi="ar"/>
              </w:rPr>
              <w:t xml:space="preserve">容器规格类型</w:t>
            </w:r>
            <w:r/>
          </w:p>
        </w:tc>
        <w:tc>
          <w:tcPr>
            <w:tcW w:w="749" w:type="pct"/>
            <w:vAlign w:val="center"/>
            <w:textDirection w:val="lrTb"/>
            <w:noWrap w:val="false"/>
          </w:tcPr>
          <w:p>
            <w:pPr>
              <w:jc w:val="center"/>
              <w:widowControl/>
              <w:rPr>
                <w:rFonts w:hint="eastAsia" w:ascii="宋体" w:hAnsi="宋体" w:eastAsia="宋体" w:cs="黑体"/>
                <w:szCs w:val="21"/>
                <w:lang w:bidi="ar"/>
              </w:rPr>
            </w:pPr>
            <w:r>
              <w:rPr>
                <w:rFonts w:hint="eastAsia" w:ascii="宋体" w:hAnsi="宋体" w:eastAsia="宋体" w:cs="黑体"/>
                <w:szCs w:val="21"/>
                <w:lang w:bidi="ar"/>
              </w:rPr>
              <w:t xml:space="preserve">常见口径</w:t>
            </w:r>
            <w:r/>
          </w:p>
          <w:p>
            <w:pPr>
              <w:jc w:val="center"/>
              <w:widowControl/>
              <w:rPr>
                <w:rFonts w:hint="eastAsia" w:ascii="宋体" w:hAnsi="宋体" w:eastAsia="宋体" w:cs="黑体"/>
                <w:szCs w:val="21"/>
                <w:lang w:bidi="ar"/>
              </w:rPr>
            </w:pPr>
            <w:r>
              <w:rPr>
                <w:rFonts w:hint="eastAsia" w:ascii="宋体" w:hAnsi="宋体" w:eastAsia="宋体" w:cs="黑体"/>
                <w:szCs w:val="21"/>
                <w:lang w:bidi="ar"/>
              </w:rPr>
              <w:t xml:space="preserve">（cm）</w:t>
            </w:r>
            <w:r/>
          </w:p>
        </w:tc>
        <w:tc>
          <w:tcPr>
            <w:tcW w:w="1035" w:type="pct"/>
            <w:vAlign w:val="center"/>
            <w:textDirection w:val="lrTb"/>
            <w:noWrap w:val="false"/>
          </w:tcPr>
          <w:p>
            <w:pPr>
              <w:jc w:val="center"/>
              <w:widowControl/>
              <w:rPr>
                <w:rFonts w:hint="eastAsia" w:ascii="宋体" w:hAnsi="宋体" w:eastAsia="宋体" w:cs="黑体"/>
                <w:szCs w:val="21"/>
                <w:lang w:bidi="ar"/>
              </w:rPr>
            </w:pPr>
            <w:r>
              <w:rPr>
                <w:rFonts w:hint="eastAsia" w:ascii="宋体" w:hAnsi="宋体" w:eastAsia="宋体" w:cs="黑体"/>
                <w:szCs w:val="21"/>
                <w:lang w:bidi="ar"/>
              </w:rPr>
              <w:t xml:space="preserve">适用植物冠幅</w:t>
            </w:r>
            <w:r/>
          </w:p>
          <w:p>
            <w:pPr>
              <w:jc w:val="center"/>
              <w:widowControl/>
              <w:rPr>
                <w:rFonts w:hint="eastAsia" w:ascii="宋体" w:hAnsi="宋体" w:eastAsia="宋体" w:cs="黑体"/>
                <w:szCs w:val="21"/>
                <w:lang w:bidi="ar"/>
              </w:rPr>
            </w:pPr>
            <w:r>
              <w:rPr>
                <w:rFonts w:hint="eastAsia" w:ascii="宋体" w:hAnsi="宋体" w:eastAsia="宋体" w:cs="黑体"/>
                <w:szCs w:val="21"/>
                <w:lang w:bidi="ar"/>
              </w:rPr>
              <w:t xml:space="preserve">（cm）</w:t>
            </w:r>
            <w:r/>
          </w:p>
        </w:tc>
        <w:tc>
          <w:tcPr>
            <w:tcW w:w="679" w:type="pct"/>
            <w:vAlign w:val="center"/>
            <w:textDirection w:val="lrTb"/>
            <w:noWrap w:val="false"/>
          </w:tcPr>
          <w:p>
            <w:pPr>
              <w:jc w:val="center"/>
              <w:widowControl/>
              <w:rPr>
                <w:rFonts w:hint="eastAsia" w:ascii="宋体" w:hAnsi="宋体" w:eastAsia="宋体" w:cs="黑体"/>
                <w:szCs w:val="21"/>
                <w:lang w:bidi="ar"/>
              </w:rPr>
            </w:pPr>
            <w:r>
              <w:rPr>
                <w:rFonts w:hint="eastAsia" w:ascii="宋体" w:hAnsi="宋体" w:eastAsia="宋体" w:cs="黑体"/>
                <w:szCs w:val="21"/>
                <w:lang w:bidi="ar"/>
              </w:rPr>
              <w:t xml:space="preserve">按盆口径     基准密度</w:t>
            </w:r>
            <w:r/>
          </w:p>
          <w:p>
            <w:pPr>
              <w:jc w:val="center"/>
              <w:widowControl/>
              <w:rPr>
                <w:rFonts w:hint="eastAsia" w:ascii="宋体" w:hAnsi="宋体" w:eastAsia="宋体" w:cs="黑体"/>
                <w:szCs w:val="21"/>
                <w:lang w:bidi="ar"/>
              </w:rPr>
            </w:pPr>
            <w:r>
              <w:rPr>
                <w:rFonts w:hint="eastAsia" w:ascii="宋体" w:hAnsi="宋体" w:eastAsia="宋体" w:cs="黑体"/>
                <w:szCs w:val="21"/>
                <w:lang w:bidi="ar"/>
              </w:rPr>
              <w:t xml:space="preserve">（盆/㎡）</w:t>
            </w:r>
            <w:r/>
          </w:p>
        </w:tc>
        <w:tc>
          <w:tcPr>
            <w:tcW w:w="1690" w:type="pct"/>
            <w:vAlign w:val="center"/>
            <w:textDirection w:val="lrTb"/>
            <w:noWrap w:val="false"/>
          </w:tcPr>
          <w:p>
            <w:pPr>
              <w:jc w:val="center"/>
              <w:widowControl/>
              <w:rPr>
                <w:rFonts w:hint="eastAsia" w:ascii="宋体" w:hAnsi="宋体" w:eastAsia="宋体" w:cs="黑体"/>
                <w:szCs w:val="21"/>
                <w:lang w:bidi="ar"/>
              </w:rPr>
            </w:pPr>
            <w:r>
              <w:rPr>
                <w:rFonts w:hint="eastAsia" w:ascii="宋体" w:hAnsi="宋体" w:eastAsia="宋体" w:cs="黑体"/>
                <w:szCs w:val="21"/>
                <w:lang w:bidi="ar"/>
              </w:rPr>
              <w:t xml:space="preserve">适用植物举例</w:t>
            </w:r>
            <w:r/>
          </w:p>
        </w:tc>
      </w:tr>
      <w:tr>
        <w:trPr>
          <w:jc w:val="center"/>
        </w:trPr>
        <w:tc>
          <w:tcPr>
            <w:tcW w:w="847"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A类：小型盆</w:t>
            </w:r>
            <w:r/>
          </w:p>
        </w:tc>
        <w:tc>
          <w:tcPr>
            <w:tcW w:w="74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10-12</w:t>
            </w:r>
            <w:r/>
          </w:p>
        </w:tc>
        <w:tc>
          <w:tcPr>
            <w:tcW w:w="103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15-25</w:t>
            </w:r>
            <w:r/>
          </w:p>
        </w:tc>
        <w:tc>
          <w:tcPr>
            <w:tcW w:w="67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75-100盆</w:t>
            </w:r>
            <w:r/>
          </w:p>
        </w:tc>
        <w:tc>
          <w:tcPr>
            <w:tcW w:w="1690"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香雪球、角堇、部分矮牵牛</w:t>
            </w:r>
            <w:r/>
          </w:p>
        </w:tc>
      </w:tr>
      <w:tr>
        <w:trPr>
          <w:jc w:val="center"/>
        </w:trPr>
        <w:tc>
          <w:tcPr>
            <w:tcW w:w="847"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B类：标准盆</w:t>
            </w:r>
            <w:r/>
          </w:p>
        </w:tc>
        <w:tc>
          <w:tcPr>
            <w:tcW w:w="74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12-14</w:t>
            </w:r>
            <w:r/>
          </w:p>
        </w:tc>
        <w:tc>
          <w:tcPr>
            <w:tcW w:w="103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W w:w="67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45-65盆</w:t>
            </w:r>
            <w:r/>
          </w:p>
        </w:tc>
        <w:tc>
          <w:tcPr>
            <w:tcW w:w="1690"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天竺葵、鼠尾草、比格海棠</w:t>
            </w:r>
            <w:r/>
          </w:p>
        </w:tc>
      </w:tr>
      <w:tr>
        <w:trPr>
          <w:jc w:val="center"/>
        </w:trPr>
        <w:tc>
          <w:tcPr>
            <w:tcW w:w="847"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C类：大型盆</w:t>
            </w:r>
            <w:r/>
          </w:p>
        </w:tc>
        <w:tc>
          <w:tcPr>
            <w:tcW w:w="74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16-18</w:t>
            </w:r>
            <w:r/>
          </w:p>
        </w:tc>
        <w:tc>
          <w:tcPr>
            <w:tcW w:w="103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W w:w="67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25-35盆</w:t>
            </w:r>
            <w:r/>
          </w:p>
        </w:tc>
        <w:tc>
          <w:tcPr>
            <w:tcW w:w="1690"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大花海棠、蓝雪花、矮生翠芦莉</w:t>
            </w:r>
            <w:r/>
          </w:p>
        </w:tc>
      </w:tr>
      <w:tr>
        <w:trPr>
          <w:jc w:val="center"/>
        </w:trPr>
        <w:tc>
          <w:tcPr>
            <w:tcW w:w="847"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D类：特色盆</w:t>
            </w:r>
            <w:r/>
          </w:p>
        </w:tc>
        <w:tc>
          <w:tcPr>
            <w:tcW w:w="74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w:t>
            </w:r>
            <w:r/>
          </w:p>
        </w:tc>
        <w:tc>
          <w:tcPr>
            <w:tcW w:w="103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45</w:t>
            </w:r>
            <w:r/>
          </w:p>
        </w:tc>
        <w:tc>
          <w:tcPr>
            <w:tcW w:w="67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15-25盆</w:t>
            </w:r>
            <w:r/>
          </w:p>
        </w:tc>
        <w:tc>
          <w:tcPr>
            <w:tcW w:w="1690"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造型亮贞女贞球、一叶兰从等</w:t>
            </w:r>
            <w:r/>
          </w:p>
        </w:tc>
      </w:tr>
      <w:tr>
        <w:trPr>
          <w:jc w:val="center"/>
        </w:trPr>
        <w:tc>
          <w:tcPr>
            <w:gridSpan w:val="5"/>
            <w:tcW w:w="5000" w:type="pct"/>
            <w:vAlign w:val="center"/>
            <w:textDirection w:val="lrTb"/>
            <w:noWrap w:val="false"/>
          </w:tcPr>
          <w:p>
            <w:pPr>
              <w:jc w:val="center"/>
              <w:widowControl/>
              <w:tabs>
                <w:tab w:val="left" w:pos="3263" w:leader="none"/>
              </w:tabs>
              <w:rPr>
                <w:rFonts w:hint="eastAsia" w:ascii="宋体" w:hAnsi="宋体" w:eastAsia="宋体" w:cs="宋体"/>
                <w:szCs w:val="21"/>
                <w:lang w:bidi="ar"/>
              </w:rPr>
            </w:pPr>
            <w:r>
              <w:rPr>
                <w:rFonts w:hint="eastAsia" w:ascii="宋体" w:hAnsi="宋体" w:eastAsia="宋体" w:cs="宋体"/>
                <w:szCs w:val="21"/>
                <w:lang w:bidi="ar"/>
              </w:rPr>
              <w:t xml:space="preserve">注：以上密度为理论最大值，实际摆放中可根据造型线条进行微调。</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（3）大型焦点植物，单独计数。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（4）为确保最佳效果，建议所有摆放花卉为同一批次的成品盆花，且开放度达到30%-50%，以保证花色、株高和冠幅的一致性。中标单位需严格按现场具体审批方案摆放，并填写《施工计数单》以供核查。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（5）摆花施工时，应尽量确保同一区域内使用统一规格的容器，以保障最终效果的平整度与饱满度，不同规格植物间的衔接应自然过渡。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4、2026年虎丘和枫桥景区（室内摆花）用花统计表</w:t>
      </w:r>
      <w:r/>
    </w:p>
    <w:tbl>
      <w:tblPr>
        <w:tblStyle w:val="1140"/>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58"/>
        <w:gridCol w:w="1287"/>
        <w:gridCol w:w="2972"/>
        <w:gridCol w:w="2265"/>
        <w:gridCol w:w="992"/>
        <w:gridCol w:w="1558"/>
      </w:tblGrid>
      <w:tr>
        <w:trPr>
          <w:jc w:val="center"/>
        </w:trPr>
        <w:tc>
          <w:tcPr>
            <w:tcBorders>
              <w:top w:val="single" w:color="auto" w:sz="4" w:space="0"/>
            </w:tcBorders>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序号</w:t>
            </w:r>
            <w:r/>
          </w:p>
        </w:tc>
        <w:tc>
          <w:tcPr>
            <w:tcBorders>
              <w:top w:val="single" w:color="auto" w:sz="4" w:space="0"/>
            </w:tcBorders>
            <w:tcW w:w="66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景区</w:t>
            </w:r>
            <w:r/>
          </w:p>
        </w:tc>
        <w:tc>
          <w:tcPr>
            <w:tcBorders>
              <w:top w:val="single" w:color="auto" w:sz="4" w:space="0"/>
            </w:tcBorders>
            <w:tcW w:w="1543"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厅堂和厕所摆花点位</w:t>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布花方式：植物名称</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计划数量</w:t>
            </w:r>
            <w:r/>
          </w:p>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（盆）</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预估规格</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c>
          <w:tcPr>
            <w:tcW w:w="668"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虎丘厅堂</w:t>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南门办公区管理处接待吧台</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H不低于35cm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南门办公区一楼中会议室</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H不低于35cm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南门综合服务厅</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南门乐游虎丘驿站</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H不低于35cm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万景山庄万松堂</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摆花：绿植</w:t>
            </w:r>
            <w:r>
              <w:rPr>
                <w:rFonts w:hint="eastAsia" w:ascii="宋体" w:hAnsi="宋体" w:eastAsia="宋体" w:cs="宋体"/>
                <w:szCs w:val="21"/>
                <w:lang w:bidi="ar"/>
              </w:rPr>
              <w:t xml:space="preserve">组合</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Borders>
              <w:top w:val="single" w:color="auto" w:sz="4" w:space="0"/>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w:t>
            </w:r>
            <w:r/>
          </w:p>
        </w:tc>
        <w:tc>
          <w:tcPr>
            <w:tcBorders>
              <w:top w:val="single" w:color="auto" w:sz="4" w:space="0"/>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案几</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万景山庄松风明月</w:t>
            </w:r>
            <w:r>
              <w:rPr>
                <w:rFonts w:hint="eastAsia" w:ascii="宋体" w:hAnsi="宋体" w:eastAsia="宋体" w:cs="宋体"/>
                <w:szCs w:val="21"/>
                <w:lang w:bidi="ar"/>
              </w:rPr>
              <w:t xml:space="preserve">厅</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案几</w:t>
            </w:r>
            <w:r>
              <w:rPr>
                <w:rFonts w:ascii="宋体" w:hAnsi="宋体" w:eastAsia="宋体" w:cs="宋体"/>
                <w:szCs w:val="21"/>
                <w:lang w:bidi="ar"/>
              </w:rPr>
              <w:t xml:space="preserve">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拥翠山庄送青簃</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摆花：绿植</w:t>
            </w:r>
            <w:r>
              <w:rPr>
                <w:rFonts w:hint="eastAsia" w:ascii="宋体" w:hAnsi="宋体" w:eastAsia="宋体" w:cs="宋体"/>
                <w:szCs w:val="21"/>
                <w:lang w:bidi="ar"/>
              </w:rPr>
              <w:t xml:space="preserve">组合</w:t>
            </w:r>
            <w:r/>
          </w:p>
        </w:tc>
        <w:tc>
          <w:tcPr>
            <w:tcBorders>
              <w:top w:val="single" w:color="auto" w:sz="4" w:space="0"/>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案几</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拥翠山庄灵澜精舍</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案几</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拥翠山庄抱瓮轩</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案几</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主景区通幽轩</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主景区玉兰山房</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主景区五贤堂</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w:t>
            </w:r>
            <w:r/>
          </w:p>
        </w:tc>
        <w:tc>
          <w:tcPr>
            <w:tcW w:w="668" w:type="pct"/>
            <w:vAlign w:val="center"/>
            <w:vMerge w:val="continue"/>
            <w:textDirection w:val="tbRlV"/>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主景区平远堂</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主景区致爽阁</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案几</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一榭园宝顺斋</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一榭园授书斋</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一榭园壶天小阁</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盆景园赏石馆</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w:t>
            </w:r>
            <w:r>
              <w:rPr>
                <w:rFonts w:hint="eastAsia" w:ascii="宋体" w:hAnsi="宋体" w:eastAsia="宋体" w:cs="宋体"/>
                <w:szCs w:val="21"/>
                <w:lang w:bidi="ar"/>
              </w:rPr>
              <w:t xml:space="preserve">大</w:t>
            </w:r>
            <w:r>
              <w:rPr>
                <w:rFonts w:ascii="宋体" w:hAnsi="宋体" w:eastAsia="宋体" w:cs="宋体"/>
                <w:szCs w:val="21"/>
                <w:lang w:bidi="ar"/>
              </w:rPr>
              <w:t xml:space="preserve">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北门游客服务中心大厅内部</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w:t>
            </w:r>
            <w:r>
              <w:rPr>
                <w:rFonts w:hint="eastAsia" w:ascii="宋体" w:hAnsi="宋体" w:eastAsia="宋体" w:cs="宋体"/>
                <w:szCs w:val="21"/>
                <w:lang w:bidi="ar"/>
              </w:rPr>
              <w:t xml:space="preserve">大</w:t>
            </w:r>
            <w:r>
              <w:rPr>
                <w:rFonts w:ascii="宋体" w:hAnsi="宋体" w:eastAsia="宋体" w:cs="宋体"/>
                <w:szCs w:val="21"/>
                <w:lang w:bidi="ar"/>
              </w:rPr>
              <w:t xml:space="preserve">绿植</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H不低于165cm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北门游客服务中心大厅内部</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北门游客服务中心大厅服务台+售票台</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北门检票口大厅</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北门厕所外厅</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摆花：落地绿植</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摆花：桌面植物</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北门游人驿站</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案几</w:t>
            </w:r>
            <w:r>
              <w:rPr>
                <w:rFonts w:ascii="宋体" w:hAnsi="宋体" w:eastAsia="宋体" w:cs="宋体"/>
                <w:szCs w:val="21"/>
                <w:lang w:bidi="ar"/>
              </w:rPr>
              <w:t xml:space="preserve">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塔影园民俗展厅对外入口处</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26</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塔影园民俗展厅内部</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27</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李鸿章祠堂文创店</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摆花：落地绿植</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w:t>
            </w:r>
            <w:r>
              <w:rPr>
                <w:rFonts w:ascii="宋体" w:hAnsi="宋体" w:eastAsia="宋体" w:cs="宋体"/>
                <w:szCs w:val="21"/>
                <w:lang w:bidi="ar"/>
              </w:rPr>
              <w:t xml:space="preserve">桌面植物</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28</w:t>
            </w:r>
            <w:r/>
          </w:p>
        </w:tc>
        <w:tc>
          <w:tcPr>
            <w:tcW w:w="668"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虎丘厕所</w:t>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南门办公区一楼厕所</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精品</w:t>
            </w:r>
            <w:r>
              <w:rPr>
                <w:rFonts w:ascii="宋体" w:hAnsi="宋体" w:eastAsia="宋体" w:cs="宋体"/>
                <w:szCs w:val="21"/>
                <w:lang w:bidi="ar"/>
              </w:rPr>
              <w:t xml:space="preserve">台面绿植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H不低于25cm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29</w:t>
            </w:r>
            <w:r/>
          </w:p>
        </w:tc>
        <w:tc>
          <w:tcPr>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南门办公区二楼厕所</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w:t>
            </w:r>
            <w:r>
              <w:rPr>
                <w:rFonts w:hint="eastAsia" w:ascii="宋体" w:hAnsi="宋体" w:eastAsia="宋体" w:cs="宋体"/>
                <w:szCs w:val="21"/>
                <w:lang w:bidi="ar"/>
              </w:rPr>
              <w:t xml:space="preserve">精品</w:t>
            </w:r>
            <w:r>
              <w:rPr>
                <w:rFonts w:ascii="宋体" w:hAnsi="宋体" w:eastAsia="宋体" w:cs="宋体"/>
                <w:szCs w:val="21"/>
                <w:lang w:bidi="ar"/>
              </w:rPr>
              <w:t xml:space="preserve">台面绿植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H不低于25cm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w:t>
            </w:r>
            <w:r/>
          </w:p>
        </w:tc>
        <w:tc>
          <w:tcPr>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塔影园香草庐南厕所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31</w:t>
            </w:r>
            <w:r/>
          </w:p>
        </w:tc>
        <w:tc>
          <w:tcPr>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塔影园民民俗展厅负一楼厕所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32</w:t>
            </w:r>
            <w:r/>
          </w:p>
        </w:tc>
        <w:tc>
          <w:tcPr>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塔影园李鸿章祠堂出口处厕所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33</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主景区断梁殿厕所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34</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主景区盆景园厕所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主景区养鹤涧厕所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主景区冷香阁厕所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37</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主景区西溪环翠厕所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38</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主景区云在茶香厕所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39</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主景区一榭园厕所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主景区孙武子祠东厕所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41</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主景区孙武子祠西厕所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42</w:t>
            </w:r>
            <w:r/>
          </w:p>
        </w:tc>
        <w:tc>
          <w:tcPr>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北门游客中心厕所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bottom w:val="single" w:color="auto" w:sz="4" w:space="0"/>
            </w:tcBorders>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43</w:t>
            </w:r>
            <w:r/>
          </w:p>
        </w:tc>
        <w:tc>
          <w:tcPr>
            <w:tcBorders>
              <w:top w:val="single" w:color="auto" w:sz="4" w:space="0"/>
              <w:bottom w:val="single" w:color="auto" w:sz="4" w:space="0"/>
            </w:tcBorders>
            <w:tcW w:w="668"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枫桥厅堂</w:t>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一枝园江枫草堂</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44</w:t>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一枝园汉学居</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H不低于50cm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45</w:t>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东门游人驿站</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摆花：台面桌面绿植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46</w:t>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办公区党支部</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摆花：桌面绿植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47</w:t>
            </w:r>
            <w:r/>
          </w:p>
        </w:tc>
        <w:tc>
          <w:tcPr>
            <w:tcBorders>
              <w:top w:val="single" w:color="auto" w:sz="4" w:space="0"/>
              <w:bottom w:val="single" w:color="auto" w:sz="4" w:space="0"/>
            </w:tcBorders>
            <w:tcW w:w="668"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枫桥厕所</w:t>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景区东门厕所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48</w:t>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渔隐小圃厕所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49</w:t>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戏台厕所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w:t>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北街厕所</w:t>
            </w:r>
            <w:r/>
          </w:p>
        </w:tc>
        <w:tc>
          <w:tcPr>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51</w:t>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铁铃关厕所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bottom w:val="single" w:color="auto" w:sz="4" w:space="0"/>
            </w:tcBorders>
            <w:tcW w:w="668"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auto" w:sz="4" w:space="0"/>
              <w:left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tcW w:w="289"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52</w:t>
            </w:r>
            <w:r/>
          </w:p>
        </w:tc>
        <w:tc>
          <w:tcPr>
            <w:tcBorders>
              <w:top w:val="single" w:color="auto" w:sz="4" w:space="0"/>
              <w:bottom w:val="single" w:color="auto" w:sz="4" w:space="0"/>
            </w:tcBorders>
            <w:tcW w:w="668"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restar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办公区一楼厕所</w:t>
            </w:r>
            <w:r/>
          </w:p>
        </w:tc>
        <w:tc>
          <w:tcPr>
            <w:tcBorders>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摆花：落地植物、</w:t>
            </w:r>
            <w:r/>
          </w:p>
        </w:tc>
        <w:tc>
          <w:tcPr>
            <w:tcBorders>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H不低于145cm</w:t>
            </w:r>
            <w:r/>
          </w:p>
        </w:tc>
      </w:tr>
      <w:tr>
        <w:trPr>
          <w:jc w:val="center"/>
        </w:trPr>
        <w:tc>
          <w:tcPr>
            <w:tcW w:w="289"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bottom w:val="single" w:color="auto" w:sz="4" w:space="0"/>
            </w:tcBorders>
            <w:tcW w:w="668"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1543"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bottom w:val="single" w:color="auto" w:sz="4" w:space="0"/>
            </w:tcBorders>
            <w:tcW w:w="117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摆花：台面绿植</w:t>
            </w:r>
            <w:r/>
          </w:p>
        </w:tc>
        <w:tc>
          <w:tcPr>
            <w:tcBorders>
              <w:top w:val="single" w:color="auto" w:sz="4" w:space="0"/>
              <w:bottom w:val="single" w:color="auto" w:sz="4" w:space="0"/>
            </w:tcBorders>
            <w:tcW w:w="515"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Borders>
              <w:top w:val="single" w:color="auto" w:sz="4" w:space="0"/>
              <w:left w:val="single" w:color="auto" w:sz="4" w:space="0"/>
              <w:bottom w:val="single" w:color="auto" w:sz="4" w:space="0"/>
            </w:tcBorders>
            <w:tcW w:w="80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H不低于40cm</w:t>
            </w:r>
            <w:r/>
          </w:p>
        </w:tc>
      </w:tr>
      <w:tr>
        <w:trPr>
          <w:jc w:val="center"/>
        </w:trPr>
        <w:tc>
          <w:tcPr>
            <w:gridSpan w:val="6"/>
            <w:tcW w:w="5000"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注：</w:t>
            </w:r>
            <w:r>
              <w:rPr>
                <w:rFonts w:ascii="宋体" w:hAnsi="宋体" w:eastAsia="宋体" w:cs="宋体"/>
                <w:szCs w:val="21"/>
                <w:lang w:bidi="ar"/>
              </w:rPr>
              <w:t xml:space="preserve">最终</w:t>
            </w:r>
            <w:r>
              <w:rPr>
                <w:rFonts w:hint="eastAsia" w:ascii="宋体" w:hAnsi="宋体" w:eastAsia="宋体" w:cs="宋体"/>
                <w:szCs w:val="21"/>
                <w:lang w:bidi="ar"/>
              </w:rPr>
              <w:t xml:space="preserve">审核以</w:t>
            </w:r>
            <w:r>
              <w:rPr>
                <w:rFonts w:ascii="宋体" w:hAnsi="宋体" w:eastAsia="宋体" w:cs="宋体"/>
                <w:szCs w:val="21"/>
                <w:lang w:bidi="ar"/>
              </w:rPr>
              <w:t xml:space="preserve">实际摆放数量</w:t>
            </w:r>
            <w:r>
              <w:rPr>
                <w:rFonts w:hint="eastAsia" w:ascii="宋体" w:hAnsi="宋体" w:eastAsia="宋体" w:cs="宋体"/>
                <w:szCs w:val="21"/>
                <w:lang w:bidi="ar"/>
              </w:rPr>
              <w:t xml:space="preserve">、</w:t>
            </w:r>
            <w:r>
              <w:rPr>
                <w:rFonts w:ascii="宋体" w:hAnsi="宋体" w:eastAsia="宋体" w:cs="宋体"/>
                <w:szCs w:val="21"/>
                <w:lang w:bidi="ar"/>
              </w:rPr>
              <w:t xml:space="preserve">补放数量</w:t>
            </w:r>
            <w:r>
              <w:rPr>
                <w:rFonts w:hint="eastAsia" w:ascii="宋体" w:hAnsi="宋体" w:eastAsia="宋体" w:cs="宋体"/>
                <w:szCs w:val="21"/>
                <w:lang w:bidi="ar"/>
              </w:rPr>
              <w:t xml:space="preserve">、更换频次来审计</w:t>
            </w:r>
            <w:r>
              <w:rPr>
                <w:rFonts w:ascii="宋体" w:hAnsi="宋体" w:eastAsia="宋体" w:cs="宋体"/>
                <w:szCs w:val="21"/>
                <w:lang w:bidi="ar"/>
              </w:rPr>
              <w:t xml:space="preserve">结算</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（四）用花参考选择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1、2026年虎丘和枫桥景区（营造花境类）用花参考选择表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8"/>
        <w:gridCol w:w="1138"/>
        <w:gridCol w:w="3481"/>
        <w:gridCol w:w="1789"/>
        <w:gridCol w:w="2082"/>
      </w:tblGrid>
      <w:tr>
        <w:trPr/>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类别</w:t>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序号</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植物名称</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高度</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参考密度</w:t>
            </w:r>
            <w:r/>
          </w:p>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（棵/平方）</w:t>
            </w:r>
            <w:r/>
          </w:p>
        </w:tc>
      </w:tr>
      <w:tr>
        <w:trPr/>
        <w:tc>
          <w:tcPr>
            <w:tcW w:w="591"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花灌木类</w:t>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油橄榄</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160-180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蓝冰柏</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160-180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蓝色波尔瓦</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120-180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羽毛枫</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160-180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蓝冰柏</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160-180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龙舌兰</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川滇蜡树棒棒糖</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150-180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亮晶女贞棒棒糖</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120-160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黄金枸骨棒棒糖</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120-160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金姬小蜡柱</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120-160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金冠女贞球</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60-100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亮晶女贞塔</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60-100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无刺构骨球</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50-70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黄金枸骨球</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60-100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金姬小蜡球</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红花继木球</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小叶黄杨球</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木绣球</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火焰卫矛</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金边胡颓子</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花叶接骨木</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穗花牡荆</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菱叶绣线菊</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贝拉安娜</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黄金喷泉</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26</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黄馨</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27</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水果蓝</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40-50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28</w:t>
            </w:r>
            <w:r/>
          </w:p>
        </w:tc>
        <w:tc>
          <w:tcPr>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彩叶杞柳</w:t>
            </w:r>
            <w:r/>
          </w:p>
        </w:tc>
        <w:tc>
          <w:tcPr>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60-100</w:t>
            </w:r>
            <w:r/>
          </w:p>
        </w:tc>
        <w:tc>
          <w:tcPr>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茶梅球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六道木万花筒</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菱叶绣线菊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醉鱼草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南天竹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矮婆鹃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新西兰亚麻</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50-70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香松</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35-55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皮球柏</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香桃木</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金丝桃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一叶兰</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朱蕉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金冠柏</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千叶兰</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20-30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牡丹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金叶小檗</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南天竹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银边亚麻叶糖芥</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八仙花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棣棠</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叶美国风箱果</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金露梅</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月季</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“金山”绣线菊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伞房决明</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金雀儿</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胡椒木</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伍尔芬狭叶大戟</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“玛丽西蒙”美洲茶</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1-1.2</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好望角南非葵</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120-180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金丝桃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金边胡颓子</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紫萼距花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“金色革命”湿生白千层</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香桃木</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银毛野牡丹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八角金盘</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大叶醉鱼草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60-100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金叶获</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匍匐迷迭香</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密毛香科科</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柠檬百里香</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15-30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大花六道木</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匍枝亮绿忍冬</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“金边”西洋接骨木</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地中海荚蒾</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“花叶”早锦带花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水栀子</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亚菊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芙蓉菊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硫华菊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蔓生蜡菊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白神圣亚麻</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凤尾兰</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铁树</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60-120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w:t>
            </w:r>
            <w:r/>
          </w:p>
        </w:tc>
      </w:tr>
      <w:tr>
        <w:trPr/>
        <w:tc>
          <w:tcPr>
            <w:tcW w:w="591"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宿根类</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蓝霸鼠尾草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大滨菊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天蓝鼠尾草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花叶美人蕉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蜀葵</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英国山麦冬</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玉簪</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大麻叶泽兰</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绣球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马鞭草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40-100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迷迭香</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矮生千鸟花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大花萱草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毛地黄吊钟柳</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紫娇花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蒲棒菊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常绿鸢尾</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百子莲</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一串红鼠尾草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八宝景天</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千屈菜</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圆锥绣球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火焰南天竹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六月雪</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矮生百子莲</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墨西哥鼠尾草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火星花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常夏石竹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杂交石竹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20-30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楼斗菜</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芙蓉葵</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100-160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金鸡菊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庭菖蒲</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鸟尾花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119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海石竹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球菊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马利筋</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宿根福禄考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芝樱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藿香蓟</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匍匐筋骨草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薰衣草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大花金鸡菊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大花飞蓬</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129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蓝雏菊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大花天人菊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勋章菊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堆心菊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黑心菊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南非万寿菊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火炬花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射干</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德国鸢尾</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139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薄荷</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美国薄荷</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40-120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荆芥</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40-100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熏衣草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分药花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翠芦莉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60-120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随意草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大吴风草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林荫鼠尾草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香彩雀</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毛地黄叶钓钟柳</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穗花婆婆纳</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千叶蓍</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木茼蒿</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松果菊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荷兰菊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棉毛水苏</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黄金菊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凤尾蕨</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夹果蕨</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肾蕨</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落新妇</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芙蓉菊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芍药</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杜鹃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35-55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荷花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35-65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假蒿</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100-180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蓬莱松</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4-6</w:t>
            </w:r>
            <w:r/>
          </w:p>
        </w:tc>
      </w:tr>
      <w:tr>
        <w:trPr/>
        <w:tc>
          <w:tcPr>
            <w:tcW w:w="591"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一二年生花卉</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四季海棠</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20-30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银叶菊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大花海棠</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桑蓓斯</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鸡冠花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一串红</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毛地黄</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鲁冰花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飞燕草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勋章菊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长春花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幌菊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179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彩叶草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花烟草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35-55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金鱼草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夏堇</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花烟草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藿香蓟</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百日草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9-12</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花毛茛</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福禄考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楼斗菜</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189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香彩雀</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黄晶菊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20-30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白晶菊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20-30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地肤</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雁来红</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千日红</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大马齿苋</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36-49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香雪球</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花菱草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虞美人</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35-55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199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醉蝶花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60-80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雏菊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471805</wp:posOffset>
                      </wp:positionH>
                      <wp:positionV relativeFrom="paragraph">
                        <wp:posOffset>-47625</wp:posOffset>
                      </wp:positionV>
                      <wp:extent cx="66675" cy="66675"/>
                      <wp:effectExtent l="0" t="0" r="9525" b="9525"/>
                      <wp:wrapNone/>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图片 5"/>
                              <pic:cNvPicPr>
                                <a:picLocks noChangeAspect="1"/>
                              </pic:cNvPicPr>
                              <pic:nvPr/>
                            </pic:nvPicPr>
                            <pic:blipFill>
                              <a:blip r:embed="rId24"/>
                              <a:stretch/>
                            </pic:blipFill>
                            <pic:spPr bwMode="auto">
                              <a:xfrm>
                                <a:off x="0" y="0"/>
                                <a:ext cx="66675" cy="66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7.1pt;mso-position-horizontal:absolute;mso-position-vertical-relative:text;margin-top:-3.8pt;mso-position-vertical:absolute;width:5.2pt;height:5.2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szCs w:val="21"/>
                <w:lang w:bidi="ar"/>
              </w:rPr>
              <w:t xml:space="preserve">201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旱金莲</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百日草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兰香草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锦葵</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50-90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维多利亚鼠尾草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萼距花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蓝目菊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矢车菊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皇帝菊</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角堇</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5-10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49-64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三色堇</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5-10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49-64</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蓝盆花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蒲苞花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五色梅</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蓝雪花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35-55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古代稀</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风铃草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地被类</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欧石竹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10-15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64-81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219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完美石竹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10-15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64-81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矮生翠芦莉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矾根</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佛甲草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5-15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64-81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红草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5-10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81</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玉龙草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5-10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100-200</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眼纹沿阶草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100-200</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紫叶酢浆草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10-15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36-49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金叶苔草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金叶石菖蒲</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20-30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229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花叶络石</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25-36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花叶长春蔓</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restar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球根类</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朱顶红</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百合</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50-120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郁金香</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35-55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洋水仙</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大花葱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100-150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银莲花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36-49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石蒜</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64-100</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花毛茛</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239</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三角紫叶酢浆草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10-25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36-49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240</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金叶甘薯藤</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241</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银莲花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36-49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242</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皇冠贝母</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243</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大花美人蕉</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60-150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9-16</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244</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姜荷花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245</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水仙类</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246</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紫娇花</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40-45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25</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247</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韭兰</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15-25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36-49</w:t>
            </w:r>
            <w:r/>
          </w:p>
        </w:tc>
      </w:tr>
      <w:tr>
        <w:trPr/>
        <w:tc>
          <w:tcPr>
            <w:tcW w:w="591" w:type="pct"/>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248</w:t>
            </w:r>
            <w:r/>
          </w:p>
        </w:tc>
        <w:tc>
          <w:tcPr>
            <w:tcBorders>
              <w:top w:val="single" w:color="auto" w:sz="4" w:space="0"/>
              <w:left w:val="single" w:color="auto" w:sz="4" w:space="0"/>
              <w:bottom w:val="single" w:color="auto" w:sz="4" w:space="0"/>
              <w:right w:val="single" w:color="auto" w:sz="4" w:space="0"/>
            </w:tcBorders>
            <w:tcW w:w="180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西班牙鸢尾</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40-60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16-25</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2、2026年虎丘和枫桥景区（室内摆花）用花参考选择表</w:t>
      </w:r>
      <w:r/>
    </w:p>
    <w:tbl>
      <w:tblPr>
        <w:tblStyle w:val="1140"/>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42"/>
        <w:gridCol w:w="657"/>
        <w:gridCol w:w="2083"/>
        <w:gridCol w:w="782"/>
        <w:gridCol w:w="2447"/>
        <w:gridCol w:w="934"/>
        <w:gridCol w:w="2083"/>
      </w:tblGrid>
      <w:tr>
        <w:trPr>
          <w:trHeight w:val="296"/>
        </w:trPr>
        <w:tc>
          <w:tcPr>
            <w:tcBorders>
              <w:top w:val="single" w:color="auto" w:sz="4" w:space="0"/>
              <w:left w:val="single" w:color="auto" w:sz="4" w:space="0"/>
              <w:bottom w:val="single" w:color="auto" w:sz="4" w:space="0"/>
              <w:right w:val="single" w:color="auto" w:sz="4" w:space="0"/>
            </w:tcBorders>
            <w:tcW w:w="333"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类别</w:t>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植物名称</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植物名称</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植物名称</w:t>
            </w:r>
            <w:r/>
          </w:p>
        </w:tc>
      </w:tr>
      <w:tr>
        <w:trPr>
          <w:trHeight w:val="283"/>
        </w:trPr>
        <w:tc>
          <w:tcPr>
            <w:tcBorders>
              <w:top w:val="single" w:color="auto" w:sz="4" w:space="0"/>
              <w:left w:val="single" w:color="auto" w:sz="4" w:space="0"/>
              <w:bottom w:val="single" w:color="auto" w:sz="4" w:space="0"/>
              <w:right w:val="single" w:color="auto" w:sz="4" w:space="0"/>
            </w:tcBorders>
            <w:tcW w:w="333" w:type="pct"/>
            <w:vAlign w:val="center"/>
            <w:vMerge w:val="restart"/>
            <w:textDirection w:val="tbRlV"/>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桌面台面植物类</w:t>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001</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富贵子</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026</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小盼菩提树盆景</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051</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栀子花</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002</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罗汉松盆景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027</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菖蒲盆景</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052</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仙客来</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003</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内门竹盆景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028</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常春藤盆景</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053</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茉莉花</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004</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米竹盆景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029</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铜钱草</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054</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芍药</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005</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大花蕙兰</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030</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红掌</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055</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君子兰</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006</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造型杜鹃</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031</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石斛兰</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056</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百合竹</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007</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郁金香</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032</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六月雪</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057</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散尾葵</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008</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虎皮兰</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033</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八宝景天</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058</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发财树</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009</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风信子</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034</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天竺葵</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059</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红枫盆景</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010</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金枝玉叶</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035</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建兰</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060</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百合花</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011</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紫檀盆景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036</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金桔</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061</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钱多多</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012</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五彩朱蕉</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037</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姬月季</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062</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蟹爪兰</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013</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红金钻</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038</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杜鹃</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063</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克莱恩</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014</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山水盆景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039</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变色木</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064</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天堂鸟</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015</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一品红</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040</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滴水观音</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065</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腊梅</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016</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灵芝</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041</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龟背竹</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066</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朱顶红</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017</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蝴蝶兰</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042</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文竹</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067</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白犀牛海芋</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018</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北美冬青盆景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043</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雪柳</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068</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秋海棠系列</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019</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小金豆盆景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044</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中国水仙</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069</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绣球系列</w:t>
            </w:r>
            <w:r/>
          </w:p>
        </w:tc>
      </w:tr>
      <w:tr>
        <w:trPr>
          <w:trHeight w:val="326"/>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020</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南天竹盆景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045</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多肉</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070</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金鱼吊兰</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021</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九里香盆景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046</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吉利红</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071</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青苹果竹芋</w:t>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022</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文心兰</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047</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长寿花</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023</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鸭脚木盆景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048</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三角梅</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r>
        <w:trPr>
          <w:trHeight w:val="283"/>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024</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小叶赤楠盆景</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049</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垂丝茉莉</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r>
        <w:trPr>
          <w:trHeight w:val="287"/>
        </w:trPr>
        <w:tc>
          <w:tcPr>
            <w:tcBorders>
              <w:top w:val="single" w:color="auto" w:sz="4" w:space="0"/>
              <w:left w:val="single" w:color="auto" w:sz="4" w:space="0"/>
              <w:bottom w:val="single" w:color="auto" w:sz="4" w:space="0"/>
              <w:right w:val="single" w:color="auto" w:sz="4" w:space="0"/>
            </w:tcBorders>
            <w:tcW w:w="333" w:type="pct"/>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34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025</w:t>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春羽苔藓球</w:t>
            </w:r>
            <w:r/>
          </w:p>
        </w:tc>
        <w:tc>
          <w:tcPr>
            <w:tcBorders>
              <w:top w:val="single" w:color="auto" w:sz="4" w:space="0"/>
              <w:left w:val="single" w:color="auto" w:sz="4" w:space="0"/>
              <w:bottom w:val="single" w:color="auto" w:sz="4" w:space="0"/>
              <w:right w:val="single" w:color="auto" w:sz="4" w:space="0"/>
            </w:tcBorders>
            <w:tcW w:w="406"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050</w:t>
            </w:r>
            <w:r/>
          </w:p>
        </w:tc>
        <w:tc>
          <w:tcPr>
            <w:tcBorders>
              <w:top w:val="single" w:color="auto" w:sz="4" w:space="0"/>
              <w:left w:val="single" w:color="auto" w:sz="4" w:space="0"/>
              <w:bottom w:val="single" w:color="auto" w:sz="4" w:space="0"/>
              <w:right w:val="single" w:color="auto" w:sz="4" w:space="0"/>
            </w:tcBorders>
            <w:tcW w:w="1271" w:type="pct"/>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蓝雪花</w:t>
            </w:r>
            <w:r/>
          </w:p>
        </w:tc>
        <w:tc>
          <w:tcPr>
            <w:tcBorders>
              <w:top w:val="single" w:color="auto" w:sz="4" w:space="0"/>
              <w:left w:val="single" w:color="auto" w:sz="4" w:space="0"/>
              <w:bottom w:val="single" w:color="auto" w:sz="4" w:space="0"/>
              <w:right w:val="single" w:color="auto" w:sz="4" w:space="0"/>
            </w:tcBorders>
            <w:tcW w:w="485" w:type="pc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1082" w:type="pct"/>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Style w:val="1140"/>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18"/>
        <w:gridCol w:w="568"/>
        <w:gridCol w:w="2122"/>
        <w:gridCol w:w="705"/>
        <w:gridCol w:w="2548"/>
        <w:gridCol w:w="843"/>
        <w:gridCol w:w="2124"/>
      </w:tblGrid>
      <w:tr>
        <w:trPr>
          <w:jc w:val="center"/>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类别</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植物名称</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植物名称</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植物名称</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restart"/>
            <w:textDirection w:val="tbRlV"/>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落地植物类</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072</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清香木</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097</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红金钻</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122</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南天竹</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073</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变叶木</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098</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球榕</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123</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朱蕉</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074</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米兰</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099</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天堂鸟</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124</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八角金盘</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075</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鸭脚木</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100</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铁树</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125</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印度榕</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076</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红豆杉</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101</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龙血树</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126</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蒲葵</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077</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绿萝柱</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102</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散尾葵</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荷兰铁</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078</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非洲茉莉塔</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103</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夏威夷椰子</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128</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虎尾兰</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079</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平安树</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104</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大叶伞</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129</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一叶兰</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080</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幸福树</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105</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百合竹</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130</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昆兰树</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081</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巴西美人铁</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106</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丽果木</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131</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六月雪</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082</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绿宝</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107</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万年青</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132</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北美冬青</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083</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心叶藤</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108</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彩叶精灵</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133</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南天竹</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084</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棕竹</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109</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袖珍椰子</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134</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红枫</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085</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金钱树</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110</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黑金刚</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135</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金桔</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086</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琴叶榕</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111</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国皇椰子</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136</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龙骨</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087</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福禄桐</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112</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孔雀木</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玉树</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088</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金山棕</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113</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滴水观音</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138</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年橘</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089</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紫珠</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114</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桂花盆景</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139</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朱槿</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090</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青叶棕竹</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115</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榆树</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140</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龙船花</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091</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垂丝茉莉</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116</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金钻</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141</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栀子花</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092</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一叶兰</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117</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巴西木</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142</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沙漠玫瑰</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093</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橡皮树</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118</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量天尺</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094</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海岛春花树</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119</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橄榄树</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095</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龟背竹</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120</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罗汉松</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vMerge w:val="continue"/>
            <w:textDirection w:val="tbRlV"/>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096</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非洲茉莉</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121</w:t>
            </w:r>
            <w:r/>
          </w:p>
        </w:tc>
        <w:tc>
          <w:tcPr>
            <w:tcBorders>
              <w:top w:val="single" w:color="auto" w:sz="4" w:space="0"/>
              <w:left w:val="single" w:color="auto"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Cs w:val="21"/>
                <w:lang w:bidi="ar"/>
              </w:rPr>
            </w:pPr>
            <w:r>
              <w:rPr>
                <w:rFonts w:ascii="宋体" w:hAnsi="宋体" w:eastAsia="宋体" w:cs="宋体"/>
                <w:szCs w:val="21"/>
                <w:lang w:bidi="ar"/>
              </w:rPr>
              <w:t xml:space="preserve">中华文心兰</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（五）养护管理要求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1、定期更换：草花类一般需根据季节每2-3个月更换一次，确保最佳观赏效果。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2、精细养护：做好浇水、施肥、修剪、病虫害防治等日常工作。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3、应急预案：针对游客高峰期踩踏的或需要补货的情况，做到即踩即补或及时增添。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（六）创新与提升计划方向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1、游客互动与科普：可设置植物标识牌，介绍花卉名称、习性及文化内涵。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2、可开设“园艺讲堂”、“认养花境”等互动活动，增强游客参与感。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3、可通过社交媒体，展示花境从设计到建造、养护的全过程，增加景区品牌曝光。</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三、服务（技术）要求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1、供应商在投报价格时应充分考虑以下因素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各响应单位应充分考虑施工期间的天气及气温等因素，结合方案对基础和造景骨架进行二次深化设计（确保结构稳定、安全牢固），选用合适的植物品种、摆放密度等要求进行报价，必须要能在服务期间呈现出最佳效果。服务期内所需全部费用、造景拆除、材料回收及垃圾清运等费用均包含在投标总价中，中标后不作调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报价根据点位、面积、频次、植物清单、规格、养护标准等考虑整个项目期限内的草花费用（含缺陷、偷盗或更换补充等），草花浇水施肥病虫防治费用，草花摆放、养护和拆除工作（保洁、除草、浇水、巡视等）所需的人工费（包括人员工资、福利、培训、保险等）、服务所用设备工具购置及维修费用、服务所用材料消耗费用、管理费用、利润、税金、政策性文件规定及合同包含的所有风险、责任和因台风、暴雨、干旱、冻害等天气因素发生草花补植、更换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（3）摆放和养护人员的安全管理、保险及相关费用。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（4）厅堂、厕所摆花优先考虑水培国兰、时令拼盆或同档次水培绿植、花卉。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2、摆花要求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w:t>
      </w:r>
      <w:r>
        <w:rPr>
          <w:rFonts w:hint="eastAsia" w:ascii="宋体" w:hAnsi="宋体" w:eastAsia="宋体" w:cs="宋体"/>
          <w:sz w:val="24"/>
          <w:szCs w:val="24"/>
        </w:rPr>
        <w:t xml:space="preserve">标后，花卉造景、花境、厅堂厕所摆花等方案需经过采购单位重新论证，并严格按照采购单位论证后的方案执行，现场摆放具体位置踏勘现场后报采购单位同意后实施，如有变动需经采购单位同意后方可更改。中高档花卉要求花叶茂盛满盆，色彩纯正。总体要求花色符合该品种正常生长状态下的典型色泽，无大面积褪色或病斑，同一种品种规格大小要一致。最终应由采购单位进行验收，经验收合格后方可进行结算，如验收通不过，中标单位必须无条件进行整改。如中标单位整改达不到要求或对缺陷不予更正，采购单位有权另请其他单位更正，所发生的费用在项目结算时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（2）摆花密度须均匀一致，避免过密过稀。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摆设辅助设施安装须美观牢固，同时杜绝安全隐患。中标单位应遵守安全生产的有关管理规定，严格按照安全标准组织施工，采取必要的安全防护措施，消除隐患。由于中标单位管理或安全措施不力造成周边环境破坏或事故的责任和因此发生的费用，由中标单位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（4）摆花期内，必须保证草花及其他植物、背景材料、辅助材料等组成的景观效果与设计方案一致。如果损坏，应及时更换，确保最佳的观赏效果。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（5）摆花期内，中标单位负责所用花卉的养护工作，并维护好现场的环境卫生。出现草花缺失（或偷盗）或成品损坏的须立刻报备采购单位，并根据采购单位需求审批后24小时内</w:t>
      </w:r>
      <w:r>
        <w:rPr>
          <w:rFonts w:hint="eastAsia" w:ascii="宋体" w:hAnsi="宋体" w:eastAsia="宋体" w:cs="宋体"/>
          <w:sz w:val="24"/>
          <w:szCs w:val="24"/>
        </w:rPr>
        <w:t xml:space="preserve">恢复原状。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（6）摆花施工时及摆花期限内，涉及人员安全问题、事故责任等产生的一切费用，均由中标单位负责。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（7）施工及维护期内，中标单位自行负责其所需的水、电设施，摆放期结束，必须在24小时内自行将摆放设施拆除，恢复摆放地点的原样。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（8）当发生抢险任务时，中标单位应以优良的服务态度，半小时以内组织人员到达抢险现场。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3、花卉摆种说明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种植前15天，须经采购单位确认效果及品种，若规格不对，则需采用大苗更换的方式，由此产生的费用由中标单位承担，摆放时所有花卉开放度达到30%-50%，且保证花色、株高和冠幅的一致性。长花序品种，则盛开1/3以上，必须完全体现品种特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（2）为保证更换花卉的生长及开花，更换后定期追肥（间隔不得超过15天），肥料以液体磷钾为主。多次开花的品种在花后及时打顶修剪，保证花开不断。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（3）若摆放期间出现死苗，则必须更换冠幅接近的苗，更换后要保证不露土，确保景观协调。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（4）草花要求：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①每次更换草花的施工日期不能超过2天，如因中标单位原因造成工期延长，按500元/天扣除履约保证金；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保证所有草花颜色鲜艳饱满，不得有枯死空缺，草花种植密度必须满足招标最低要求，满铺率达到80%，草花种植7天后必须基本达到草花黄土不露天效果，否则进行补种草花至黄土不露天，未第一时间积极响应的按500元/次扣除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换花移栽前必须深翻细耙，除尽土中石块、草屑、残茎、落叶等杂物，并施足基肥。草花更换后应加强水肥、除草、保洁等日常管理，一旦出现草花死亡、长势不良等明显影响观赏效果的，而草花更换时间尚未到期的，中标单位应及时更换、补植到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④土方必须低于侧石5cm以上，浇水后要保持路面清洁，不得污染地面，发现一次，按500元/次扣除履约保证金；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⑤浇水应在不影响游客游览体验的前提下进行，如不符合标准，按500元/次给予经济赔偿；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⑥草花种植后严格控制高度，保持草花高度一致。</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4、人员要求：项目负责人1名，具有从事园林绿化和花境造景工作经验5年及以上的为优。中标后项目负责人不得任意变更，直至本项目的合同期满。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5、验收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（1）中标单位应按照采购文件的要求提供合格的产品和服务。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（2）景点和花卉的验收包括：景点外观、安全性、花卉数量、质量以及养护管理质量，中标单位对质量问题负责无条件更换不合格花卉、无条件重新制作或修理加固景点设施，因此发生的费用由中标单位负责。</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（3）摆花地点：参考上述表格中的计划点位，最终审计按采购单位要求的实际点位进行。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（4）验收标准：按《江苏省城市园林绿化植物种植技术规定》、《江苏省城市园林绿化植物养护技术规定及苏州市的有关规范、规定》等相关规定及采购单位采购要求执行。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（5）验收及检查期限：以采购单位书面通知为准。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售后服务：中标单位应以优良的服务态度，在花卉整改方面，提供1小时内响应，4小时以内到达现场，24小时内完成采购单位提出的整改要求，如遇采购单位紧急的整改要求，中标单位需无条件配合并提供5小时以内完成整改的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（7）服务期内，如出现重大缺陷，中标单位应及时将缺陷更正；如中标单位对养护缺陷不予更正，采购单位有权另请其他单位更正，所发生的费用在项目结算时扣除。</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四、综合说明及其他要求</w:t>
      </w:r>
      <w:r/>
    </w:p>
    <w:p>
      <w:pPr>
        <w:ind w:firstLine="480"/>
        <w:spacing w:line="360" w:lineRule="auto"/>
        <w:rPr>
          <w:rFonts w:hint="eastAsia" w:ascii="宋体" w:hAnsi="宋体" w:eastAsia="宋体" w:cs="宋体"/>
          <w:sz w:val="24"/>
          <w:szCs w:val="24"/>
        </w:rPr>
      </w:pPr>
      <w:r/>
      <w:bookmarkStart w:id="62" w:name="_Hlk193379214"/>
      <w:r/>
      <w:bookmarkStart w:id="63" w:name="_Hlk117243055"/>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bookmarkEnd w:id="6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bookmarkStart w:id="64" w:name="_Hlk193379165"/>
      <w:r>
        <w:rPr>
          <w:rFonts w:hint="eastAsia" w:ascii="宋体" w:hAnsi="宋体" w:eastAsia="宋体" w:cs="宋体"/>
          <w:sz w:val="24"/>
          <w:szCs w:val="24"/>
        </w:rPr>
        <w:t xml:space="preserve">供应商应对所投采购包的全部内容进行报价，只投其中部分内容者，其投标（响应）文件将被拒绝。投标（响应）总报价一次报定，</w:t>
      </w:r>
      <w:bookmarkEnd w:id="64"/>
      <w:r>
        <w:rPr>
          <w:rFonts w:hint="eastAsia" w:ascii="宋体" w:hAnsi="宋体" w:eastAsia="宋体" w:cs="宋体"/>
          <w:sz w:val="24"/>
          <w:szCs w:val="24"/>
        </w:rPr>
        <w:t xml:space="preserve">包括花卉、人工、日常养护、肥料、工具、仓储、发货、运输、安装、调试、验收、培训、质保、保险、专利、风险、利润、税金、政策性文件规定及合同包含的所有风险、责任等各项应有费用、代理服务费等一切实施本项目产生的相关费用。</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4、中标单位将根据招标文件、投标（响应）文件的相关约定，承担合同责任，履行合同义务。</w:t>
      </w:r>
      <w:bookmarkEnd w:id="6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5、付款方式：详见合同主要条款。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6、凡涉及招标文件的补充说明和修改，均以苏州政府采购网发布的内容为准。</w:t>
      </w:r>
      <w:r/>
    </w:p>
    <w:p>
      <w:pPr>
        <w:rPr>
          <w:rFonts w:hint="eastAsia" w:ascii="宋体" w:hAnsi="宋体" w:eastAsia="宋体" w:cs="宋体"/>
        </w:rPr>
      </w:pPr>
      <w:r>
        <w:rPr>
          <w:rFonts w:hint="eastAsia" w:ascii="宋体" w:hAnsi="宋体" w:eastAsia="宋体" w:cs="宋体"/>
        </w:rPr>
        <w:br w:type="page" w:clear="all"/>
      </w:r>
      <w:r/>
    </w:p>
    <w:p>
      <w:pPr>
        <w:jc w:val="left"/>
        <w:rPr>
          <w:rFonts w:hint="eastAsia" w:ascii="宋体" w:hAnsi="宋体" w:eastAsia="宋体" w:cs="宋体"/>
        </w:rPr>
      </w:pPr>
      <w:r/>
      <w:bookmarkStart w:id="65" w:name="_Toc105940241"/>
      <w:r/>
      <w:bookmarkStart w:id="66" w:name="_Toc396747046"/>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rPr>
          <w:rFonts w:hint="eastAsia" w:ascii="宋体" w:hAnsi="宋体" w:eastAsia="宋体" w:cs="宋体"/>
          <w:sz w:val="21"/>
          <w:szCs w:val="22"/>
        </w:rPr>
      </w:pPr>
      <w:r>
        <w:rPr>
          <w:rFonts w:hint="eastAsia" w:ascii="宋体" w:hAnsi="宋体" w:eastAsia="宋体" w:cs="宋体"/>
          <w:sz w:val="21"/>
          <w:szCs w:val="22"/>
        </w:rPr>
      </w:r>
      <w:r/>
    </w:p>
    <w:p>
      <w:pPr>
        <w:pStyle w:val="1023"/>
        <w:ind w:firstLine="964"/>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r>
      <w:r/>
    </w:p>
    <w:p>
      <w:pPr>
        <w:jc w:val="center"/>
        <w:keepLines/>
        <w:keepNext/>
        <w:spacing w:before="340" w:after="330" w:line="360" w:lineRule="auto"/>
        <w:rPr>
          <w:rFonts w:hint="eastAsia" w:ascii="宋体" w:hAnsi="宋体" w:eastAsia="宋体" w:cs="宋体"/>
          <w:b/>
          <w:sz w:val="48"/>
          <w:szCs w:val="48"/>
          <w:shd w:val="clear" w:color="auto" w:fill="ffffff"/>
        </w:rPr>
        <w:outlineLvl w:val="0"/>
      </w:pPr>
      <w:r>
        <w:rPr>
          <w:rFonts w:hint="eastAsia" w:ascii="宋体" w:hAnsi="宋体" w:eastAsia="宋体" w:cs="宋体"/>
          <w:b/>
          <w:sz w:val="48"/>
          <w:szCs w:val="48"/>
          <w:shd w:val="clear" w:color="auto" w:fill="ffffff"/>
        </w:rPr>
        <w:t xml:space="preserve">第五章 合同主要条款</w:t>
      </w:r>
      <w:bookmarkEnd w:id="65"/>
      <w:r/>
      <w:bookmarkEnd w:id="66"/>
      <w:r/>
      <w:r/>
    </w:p>
    <w:p>
      <w:pPr>
        <w:jc w:val="left"/>
        <w:rPr>
          <w:rFonts w:hint="eastAsia" w:ascii="宋体" w:hAnsi="宋体" w:eastAsia="宋体" w:cs="宋体"/>
          <w:sz w:val="24"/>
          <w:szCs w:val="24"/>
        </w:rPr>
      </w:pPr>
      <w:r/>
      <w:bookmarkStart w:id="67" w:name="_Toc13642118"/>
      <w:r/>
      <w:bookmarkStart w:id="68" w:name="_Toc13889378"/>
      <w:r/>
      <w:bookmarkEnd w:id="61"/>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合同主要条款</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甲方（采购人）：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2"/>
        <w:spacing w:before="100" w:beforeAutospacing="1" w:line="360" w:lineRule="auto"/>
        <w:rPr>
          <w:rFonts w:hint="eastAsia" w:ascii="宋体" w:hAnsi="宋体" w:eastAsia="宋体" w:cs="宋体"/>
          <w:b/>
          <w:sz w:val="24"/>
          <w:szCs w:val="24"/>
        </w:rPr>
      </w:pPr>
      <w:r>
        <w:rPr>
          <w:rFonts w:hint="eastAsia" w:ascii="宋体" w:hAnsi="宋体" w:eastAsia="宋体" w:cs="宋体"/>
          <w:b/>
          <w:sz w:val="24"/>
          <w:szCs w:val="24"/>
        </w:rPr>
        <w:t xml:space="preserve">乙方（供应商）：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依据甲方委托</w:t>
      </w:r>
      <w:r>
        <w:rPr>
          <w:rFonts w:hint="eastAsia" w:ascii="宋体" w:hAnsi="宋体" w:eastAsia="宋体"/>
          <w:sz w:val="24"/>
          <w:szCs w:val="24"/>
          <w:u w:val="single"/>
        </w:rPr>
        <w:t xml:space="preserve">苏州诚和招投标咨询有限公司</w:t>
      </w:r>
      <w:r>
        <w:rPr>
          <w:rFonts w:hint="eastAsia" w:ascii="宋体" w:hAnsi="宋体" w:eastAsia="宋体"/>
          <w:sz w:val="24"/>
          <w:szCs w:val="24"/>
        </w:rPr>
        <w:t xml:space="preserve">进行本项目政府采购（</w:t>
      </w:r>
      <w:r>
        <w:rPr>
          <w:rFonts w:hint="eastAsia" w:ascii="宋体" w:hAnsi="宋体" w:eastAsia="宋体"/>
          <w:sz w:val="24"/>
          <w:szCs w:val="24"/>
          <w:u w:val="single"/>
        </w:rPr>
        <w:t xml:space="preserve">采购编号：</w:t>
      </w:r>
      <w:r>
        <w:rPr>
          <w:rFonts w:ascii="宋体" w:hAnsi="宋体" w:eastAsia="宋体"/>
          <w:sz w:val="24"/>
          <w:szCs w:val="24"/>
          <w:u w:val="single"/>
        </w:rPr>
        <w:t xml:space="preserve">JSZC-320500-SZCH-G2025-0109</w:t>
      </w:r>
      <w:r>
        <w:rPr>
          <w:rFonts w:hint="eastAsia" w:ascii="宋体" w:hAnsi="宋体" w:eastAsia="宋体"/>
          <w:sz w:val="24"/>
          <w:szCs w:val="24"/>
        </w:rPr>
        <w:t xml:space="preserve">）的采购结果，确定乙方为本次中标供应商，现依照招标文件、乙方的投标文件及相关文件的内容，签订本合同书。</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一、合同标的物和合同价格组成</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1、采购的服务内容概述：2026年度日常环境布置用花。</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2、服务期限：自合同签订之日起至2026年12月31日。如履约结束时间有调整或延期，以甲方通知为准。乙方必须无条件服从甲方安排，甲方不承担任何费用。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3、合同价款的组成：合同价款包含甲方应付乙方的全部款项，包括花卉、人工、</w:t>
      </w:r>
      <w:r>
        <w:rPr>
          <w:rFonts w:hint="eastAsia" w:ascii="宋体" w:hAnsi="宋体" w:eastAsia="宋体" w:cs="宋体"/>
          <w:sz w:val="24"/>
          <w:szCs w:val="24"/>
        </w:rPr>
        <w:t xml:space="preserve">日常养护、肥料、工具、</w:t>
      </w:r>
      <w:r>
        <w:rPr>
          <w:rFonts w:hint="eastAsia" w:ascii="宋体" w:hAnsi="宋体" w:eastAsia="宋体"/>
          <w:sz w:val="24"/>
          <w:szCs w:val="24"/>
        </w:rPr>
        <w:t xml:space="preserve">仓储、发货、运输、安装、调试、验收、培训、质保、保险、专利、风险、利润、税金、政策性文件规定及合同包含的所有风险、责任等各项应有费用、代理服务费等一切实施本项目产生的相关费用。</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二、下列文件为本合同不可分割部分，如果合同文件存在歧义或不一致，则根据如下优先次序判断</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1、中标通知书。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2、乙方中标的投标（响应）文件。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3、招标文件。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4、乙方在招投标过程中所作的其它承诺、声明、书面澄清等。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以上与本合同具有同等法律效力，如上述文件与本合同内容存在冲突的，双方认可按照本合同约定内容执行。</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三、合同价格支付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1、合同价格：</w:t>
      </w:r>
      <w:r>
        <w:rPr>
          <w:rFonts w:hint="eastAsia" w:ascii="宋体" w:hAnsi="宋体" w:eastAsia="宋体"/>
          <w:b/>
          <w:bCs/>
          <w:sz w:val="24"/>
          <w:szCs w:val="24"/>
          <w:u w:val="single"/>
        </w:rPr>
        <w:t xml:space="preserve">人民币      元整（￥     .00元）</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2、付款步骤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甲方只对已签证认可的合格工作量进行支付，签订合同并收到履约保证金后预付中标金额的10%，按照《苏州市虎丘山风景名胜区管理处验收审核管理细则（试行）》，6月底经甲方验收合格后按已完工金额结算一次，12月初通过甲方验收后由乙方汇总并编制结算（养护时间至合同期满），由甲方委托中介机构进行审计，根据审计结果支付至审定结算金额的100%（跟踪审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（2）乙方明确表示无需预付款或者主动要求降低预付款比例的，甲方可不适用上述关于预付款的规定。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（3）付款方式：银行汇票或转账支票。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（4）因非甲方原因导致树木、花卉、草坪地被死亡的，乙方须及时补植到位，活动结束后应当达到甲方的场地清理要求，如乙方未按要求执行的，甲方有权直接从应付款中扣除相应费用。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3、履约保证金：合同金额的10%。</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（1）乙方必须在合同签订后十五日内按规定将履约保证金以支票、汇票、本票、保函等非现金形式或甲乙双方协商的其他方式提交至采购人，否则将视为拒绝履约，合同作废并按照政府采购相关规定处理。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在合同期满后且缺陷更正，并配合主管部门办理移交手续后，甲方退还履约保证金（无息）。如乙方对服务缺陷不予更正，甲方有权另请其他单位更正，所发生的费用在履约保证金中扣除。合同期间乙方收到扣款通知后，还需在7个工作日内补足履约保证金，否则甲方有权解除合同，由此造成的损失和责任由乙方承担。</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四、验收要求（具体按采购文件要求）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1、乙方应按照采购文件的要求提供合格的产品和服务。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2、景点和花卉的验收包括；景点外观、安全性、花卉数量、质量以及养护管理质量，乙方对质量问题负责无条件更换不合格花卉、无条件重新制作或修理加固景点设施，因此发生的费用由乙方负责。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3、摆花地点：</w:t>
      </w:r>
      <w:r>
        <w:rPr>
          <w:rFonts w:hint="eastAsia" w:ascii="宋体" w:hAnsi="宋体" w:eastAsia="宋体" w:cs="宋体"/>
          <w:bCs/>
          <w:sz w:val="24"/>
          <w:szCs w:val="24"/>
        </w:rPr>
        <w:t xml:space="preserve">参考采购文件表格中的计划点位，最终审计按甲方要求的实际点位进行。</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4、验收标准：按《江苏省城市园林绿化植物种植技术规定》、《江苏省城市园林绿化植物养护技术规定及苏州市的有关规范、规定》等相关规定及甲方采购要求执行。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5、验收及检查期限：以甲方书面通知为准。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6、售后服务：乙方应以优良的服务态度，在花卉整改方面，提供1小时内响应，4小时</w:t>
      </w:r>
      <w:r>
        <w:rPr>
          <w:rFonts w:hint="eastAsia" w:ascii="宋体" w:hAnsi="宋体" w:eastAsia="宋体"/>
          <w:sz w:val="24"/>
          <w:szCs w:val="24"/>
        </w:rPr>
        <w:t xml:space="preserve">以内到达现场，24小时内完成甲方提出的整改要求，如遇甲方紧急的整改要求，乙方需无条件配合并提供5小时以内完成整改的服务。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7、服务期内，如出现重大缺陷，乙方应及时将缺陷更正；如乙方对养护缺陷不予更正，甲方有权另请其他单位更正，所发生的费用在项目结算时扣除。</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五、不可抗力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六、合同的解除和转让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1、甲方和乙方协商一致，可以解除合同。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2、有下列情形之一，合同一方可以解除合同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（1）因不可抗力致使不能实现合同目的，未受不可抗力影响的一方有权解除合同。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（2）因合同一方违约导致合同不能履行，另一方有权解除合同。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（3）因乙方在履行合同过程中造成社会不良影响的，甲方有权解除合同。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4、合同的部分和全部都不得转让。</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七、违约责任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2、甲方违约责任。甲方未按照约定时间支付合同价款的，应当承担逾期付款违约责任。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3、乙方违约责任。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（1）甲方有权按照本合同规定对乙方进行考核，并按照考核办法的规定要求乙方承担相应责任。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（2）乙方承担的违约金不足以赔偿甲方实际损失的，甲方有权要求乙方继续赔偿。</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（3）乙方履行合同不符合合同要求的，甲方有权责令乙方立即改正，乙方拒不改正或已经造成不良社会影响的，甲方有权要求乙方承担责任。</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八、争议解决办法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因本合同或与本合同有关的一切事项发生争议，由双方友好协商解决。协商不成的，任何一方均可以向甲方所在地人民法院起诉。</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九、合同生效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本合同经双方法定代表人或授权代表签字（或盖章）并经单位盖章后生效。</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十、附则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1、本合同一式</w:t>
      </w:r>
      <w:r>
        <w:rPr>
          <w:rFonts w:hint="eastAsia" w:ascii="宋体" w:hAnsi="宋体" w:eastAsia="宋体"/>
          <w:sz w:val="24"/>
          <w:szCs w:val="24"/>
          <w:u w:val="single"/>
        </w:rPr>
        <w:t xml:space="preserve"> 伍 </w:t>
      </w:r>
      <w:r>
        <w:rPr>
          <w:rFonts w:hint="eastAsia" w:ascii="宋体" w:hAnsi="宋体" w:eastAsia="宋体"/>
          <w:sz w:val="24"/>
          <w:szCs w:val="24"/>
        </w:rPr>
        <w:t xml:space="preserve">份，甲方、乙方各执</w:t>
      </w:r>
      <w:r>
        <w:rPr>
          <w:rFonts w:hint="eastAsia" w:ascii="宋体" w:hAnsi="宋体" w:eastAsia="宋体"/>
          <w:sz w:val="24"/>
          <w:szCs w:val="24"/>
          <w:u w:val="single"/>
        </w:rPr>
        <w:t xml:space="preserve"> 贰 </w:t>
      </w:r>
      <w:r>
        <w:rPr>
          <w:rFonts w:hint="eastAsia" w:ascii="宋体" w:hAnsi="宋体" w:eastAsia="宋体"/>
          <w:sz w:val="24"/>
          <w:szCs w:val="24"/>
        </w:rPr>
        <w:t xml:space="preserve">份，采购代理机构执</w:t>
      </w:r>
      <w:r>
        <w:rPr>
          <w:rFonts w:hint="eastAsia" w:ascii="宋体" w:hAnsi="宋体" w:eastAsia="宋体"/>
          <w:sz w:val="24"/>
          <w:szCs w:val="24"/>
          <w:u w:val="single"/>
        </w:rPr>
        <w:t xml:space="preserve"> 壹 </w:t>
      </w:r>
      <w:r>
        <w:rPr>
          <w:rFonts w:hint="eastAsia" w:ascii="宋体" w:hAnsi="宋体" w:eastAsia="宋体"/>
          <w:sz w:val="24"/>
          <w:szCs w:val="24"/>
        </w:rPr>
        <w:t xml:space="preserve">份。</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2、本合同文件使用中文书写、解释和说明。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3、本合同履行过程中产生的纪要、协议以及中标通知书、投标文件和采购文件为本合同的附件，与合同具有同等效力。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4、未尽事宜</w:t>
      </w:r>
      <w:r/>
    </w:p>
    <w:p>
      <w:pPr>
        <w:ind w:firstLine="480"/>
        <w:spacing w:line="360" w:lineRule="auto"/>
        <w:rPr>
          <w:rFonts w:hint="eastAsia" w:ascii="宋体" w:hAnsi="宋体" w:eastAsia="宋体" w:cs="宋体"/>
          <w:szCs w:val="24"/>
        </w:rPr>
      </w:pPr>
      <w:r>
        <w:rPr>
          <w:rFonts w:hint="eastAsia" w:ascii="宋体" w:hAnsi="宋体" w:eastAsia="宋体"/>
          <w:sz w:val="24"/>
          <w:szCs w:val="24"/>
        </w:rPr>
        <w:t xml:space="preserve">按《中华人民共和国政府采购法》及其他有关的法律法规的规定执行。</w:t>
      </w:r>
      <w:r>
        <w:rPr>
          <w:rFonts w:hint="eastAsia" w:ascii="宋体" w:hAnsi="宋体" w:eastAsia="宋体" w:cs="宋体"/>
          <w:szCs w:val="24"/>
        </w:rPr>
        <w:br w:type="page" w:clear="all"/>
      </w:r>
      <w:r/>
    </w:p>
    <w:p>
      <w:pPr>
        <w:ind w:firstLine="520"/>
        <w:jc w:val="left"/>
        <w:spacing w:line="360" w:lineRule="auto"/>
        <w:rPr>
          <w:rFonts w:hint="eastAsia" w:ascii="宋体" w:hAnsi="宋体" w:eastAsia="宋体" w:cs="宋体"/>
          <w:sz w:val="26"/>
          <w:szCs w:val="20"/>
          <w:shd w:val="clear" w:color="auto" w:fill="ffffff"/>
        </w:rPr>
      </w:pPr>
      <w:r/>
      <w:bookmarkStart w:id="69" w:name="_Toc105940242"/>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第六章 评分</w:t>
      </w:r>
      <w:bookmarkEnd w:id="67"/>
      <w:r/>
      <w:bookmarkEnd w:id="68"/>
      <w:r>
        <w:rPr>
          <w:rFonts w:hint="eastAsia" w:ascii="宋体" w:hAnsi="宋体" w:eastAsia="宋体" w:cs="宋体"/>
          <w:b/>
          <w:sz w:val="52"/>
          <w:szCs w:val="20"/>
          <w:shd w:val="clear" w:color="auto" w:fill="ffffff"/>
        </w:rPr>
        <w:t xml:space="preserve">标准</w:t>
      </w:r>
      <w:bookmarkEnd w:id="69"/>
      <w:r/>
      <w:r/>
    </w:p>
    <w:p>
      <w:pPr>
        <w:ind w:firstLine="520"/>
        <w:spacing w:line="360" w:lineRule="auto"/>
        <w:rPr>
          <w:rFonts w:hint="eastAsia" w:ascii="宋体" w:hAnsi="宋体" w:eastAsia="宋体" w:cs="宋体"/>
          <w:sz w:val="24"/>
          <w:szCs w:val="24"/>
        </w:rPr>
        <w:outlineLvl w:val="1"/>
      </w:pPr>
      <w:r/>
      <w:bookmarkStart w:id="70" w:name="OLE_LINK2"/>
      <w:r>
        <w:rPr>
          <w:rFonts w:hint="eastAsia" w:ascii="宋体" w:hAnsi="宋体" w:eastAsia="宋体" w:cs="宋体"/>
          <w:sz w:val="26"/>
          <w:szCs w:val="20"/>
          <w:shd w:val="clear" w:color="auto" w:fill="ffffff"/>
        </w:rPr>
        <w:br w:type="page" w:clear="all"/>
      </w:r>
      <w:bookmarkEnd w:id="70"/>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1、评价和比较采用综合评分法，即指投标（响应）文件满足招标文件全部实质性要求，且按照评审因素的量化指标评审得分最高的供应商</w:t>
      </w:r>
      <w:r>
        <w:rPr>
          <w:rFonts w:hint="eastAsia" w:ascii="宋体" w:hAnsi="宋体" w:eastAsia="宋体" w:cs="宋体"/>
          <w:sz w:val="24"/>
          <w:szCs w:val="24"/>
        </w:rPr>
        <w:t xml:space="preserve">为排名第一的</w:t>
      </w:r>
      <w:r>
        <w:rPr>
          <w:rFonts w:hint="eastAsia" w:ascii="宋体" w:hAnsi="宋体" w:eastAsia="宋体" w:cs="宋体"/>
          <w:sz w:val="24"/>
          <w:szCs w:val="24"/>
        </w:rPr>
        <w:t xml:space="preserve">中标候选人的评标方法。</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2、根据江苏省财政厅《关于推动解决政府采购异常低价问题相关工作的通知》（苏财购〔2025〕62号）规定，政府采购异常低价审查：</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评审过程中出现下列情形之一的，评审委员会应当启</w:t>
      </w:r>
      <w:r>
        <w:rPr>
          <w:rFonts w:hint="eastAsia" w:ascii="宋体" w:hAnsi="宋体" w:eastAsia="宋体"/>
          <w:sz w:val="24"/>
          <w:szCs w:val="24"/>
        </w:rPr>
        <w:t xml:space="preserve">动异常低价投标</w:t>
      </w:r>
      <w:r>
        <w:rPr>
          <w:rFonts w:hint="eastAsia" w:ascii="宋体" w:hAnsi="宋体" w:eastAsia="宋体" w:cs="宋体"/>
          <w:sz w:val="24"/>
          <w:szCs w:val="24"/>
        </w:rPr>
        <w:t xml:space="preserve">（响应）</w:t>
      </w:r>
      <w:r>
        <w:rPr>
          <w:rFonts w:ascii="宋体" w:hAnsi="宋体" w:eastAsia="宋体"/>
          <w:sz w:val="24"/>
          <w:szCs w:val="24"/>
        </w:rPr>
        <w:t xml:space="preserve">审查程序</w:t>
      </w:r>
      <w:r>
        <w:rPr>
          <w:rFonts w:hint="eastAsia" w:ascii="宋体" w:hAnsi="宋体" w:eastAsia="宋体"/>
          <w:sz w:val="24"/>
          <w:szCs w:val="24"/>
        </w:rPr>
        <w:t xml:space="preserve">：</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①</w:t>
      </w:r>
      <w:r>
        <w:rPr>
          <w:rFonts w:ascii="宋体" w:hAnsi="宋体" w:eastAsia="宋体"/>
          <w:sz w:val="24"/>
          <w:szCs w:val="24"/>
        </w:rPr>
        <w:t xml:space="preserve">投标</w:t>
      </w:r>
      <w:r>
        <w:rPr>
          <w:rFonts w:hint="eastAsia" w:ascii="宋体" w:hAnsi="宋体" w:eastAsia="宋体" w:cs="宋体"/>
          <w:sz w:val="24"/>
          <w:szCs w:val="24"/>
        </w:rPr>
        <w:t xml:space="preserve">（响应）</w:t>
      </w:r>
      <w:r>
        <w:rPr>
          <w:rFonts w:ascii="宋体" w:hAnsi="宋体" w:eastAsia="宋体"/>
          <w:sz w:val="24"/>
          <w:szCs w:val="24"/>
        </w:rPr>
        <w:t xml:space="preserve">报价低于采购项目预算50%的，即投标</w:t>
      </w:r>
      <w:r>
        <w:rPr>
          <w:rFonts w:hint="eastAsia" w:ascii="宋体" w:hAnsi="宋体" w:eastAsia="宋体" w:cs="宋体"/>
          <w:sz w:val="24"/>
          <w:szCs w:val="24"/>
        </w:rPr>
        <w:t xml:space="preserve">（响应）</w:t>
      </w:r>
      <w:r>
        <w:rPr>
          <w:rFonts w:ascii="宋体" w:hAnsi="宋体" w:eastAsia="宋体"/>
          <w:sz w:val="24"/>
          <w:szCs w:val="24"/>
        </w:rPr>
        <w:t xml:space="preserve">报价</w:t>
      </w:r>
      <w:r>
        <w:rPr>
          <w:rFonts w:hint="eastAsia" w:ascii="宋体" w:hAnsi="宋体" w:eastAsia="宋体"/>
          <w:sz w:val="24"/>
          <w:szCs w:val="24"/>
        </w:rPr>
        <w:t xml:space="preserve">＜</w:t>
      </w:r>
      <w:r>
        <w:rPr>
          <w:rFonts w:ascii="宋体" w:hAnsi="宋体" w:eastAsia="宋体"/>
          <w:sz w:val="24"/>
          <w:szCs w:val="24"/>
        </w:rPr>
        <w:t xml:space="preserve">采购项目预算</w:t>
      </w:r>
      <w:r>
        <w:rPr>
          <w:rFonts w:hint="eastAsia" w:ascii="宋体" w:hAnsi="宋体" w:eastAsia="宋体"/>
          <w:sz w:val="24"/>
          <w:szCs w:val="24"/>
        </w:rPr>
        <w:t xml:space="preserve">×</w:t>
      </w:r>
      <w:r>
        <w:rPr>
          <w:rFonts w:ascii="宋体" w:hAnsi="宋体" w:eastAsia="宋体"/>
          <w:sz w:val="24"/>
          <w:szCs w:val="24"/>
        </w:rPr>
        <w:t xml:space="preserve">50%</w:t>
      </w:r>
      <w:r>
        <w:rPr>
          <w:rFonts w:hint="eastAsia" w:ascii="宋体" w:hAnsi="宋体" w:eastAsia="宋体"/>
          <w:sz w:val="24"/>
          <w:szCs w:val="24"/>
        </w:rPr>
        <w:t xml:space="preserve">；</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②</w:t>
      </w:r>
      <w:r>
        <w:rPr>
          <w:rFonts w:ascii="宋体" w:hAnsi="宋体" w:eastAsia="宋体"/>
          <w:sz w:val="24"/>
          <w:szCs w:val="24"/>
        </w:rPr>
        <w:t xml:space="preserve">投标</w:t>
      </w:r>
      <w:r>
        <w:rPr>
          <w:rFonts w:hint="eastAsia" w:ascii="宋体" w:hAnsi="宋体" w:eastAsia="宋体" w:cs="宋体"/>
          <w:sz w:val="24"/>
          <w:szCs w:val="24"/>
        </w:rPr>
        <w:t xml:space="preserve">（响应）</w:t>
      </w:r>
      <w:r>
        <w:rPr>
          <w:rFonts w:ascii="宋体" w:hAnsi="宋体" w:eastAsia="宋体"/>
          <w:sz w:val="24"/>
          <w:szCs w:val="24"/>
        </w:rPr>
        <w:t xml:space="preserve">报价低于采购项目最高限价45%的，即投标</w:t>
      </w:r>
      <w:r>
        <w:rPr>
          <w:rFonts w:hint="eastAsia" w:ascii="宋体" w:hAnsi="宋体" w:eastAsia="宋体" w:cs="宋体"/>
          <w:sz w:val="24"/>
          <w:szCs w:val="24"/>
        </w:rPr>
        <w:t xml:space="preserve">（响应）</w:t>
      </w:r>
      <w:r>
        <w:rPr>
          <w:rFonts w:ascii="宋体" w:hAnsi="宋体" w:eastAsia="宋体"/>
          <w:sz w:val="24"/>
          <w:szCs w:val="24"/>
        </w:rPr>
        <w:t xml:space="preserve">报价</w:t>
      </w:r>
      <w:r>
        <w:rPr>
          <w:rFonts w:hint="eastAsia" w:ascii="宋体" w:hAnsi="宋体" w:eastAsia="宋体"/>
          <w:sz w:val="24"/>
          <w:szCs w:val="24"/>
        </w:rPr>
        <w:t xml:space="preserve">＜</w:t>
      </w:r>
      <w:r>
        <w:rPr>
          <w:rFonts w:ascii="宋体" w:hAnsi="宋体" w:eastAsia="宋体"/>
          <w:sz w:val="24"/>
          <w:szCs w:val="24"/>
        </w:rPr>
        <w:t xml:space="preserve">采购项目最高限价</w:t>
      </w:r>
      <w:r>
        <w:rPr>
          <w:rFonts w:hint="eastAsia" w:ascii="宋体" w:hAnsi="宋体" w:eastAsia="宋体"/>
          <w:sz w:val="24"/>
          <w:szCs w:val="24"/>
        </w:rPr>
        <w:t xml:space="preserve">×</w:t>
      </w:r>
      <w:r>
        <w:rPr>
          <w:rFonts w:ascii="宋体" w:hAnsi="宋体" w:eastAsia="宋体"/>
          <w:sz w:val="24"/>
          <w:szCs w:val="24"/>
        </w:rPr>
        <w:t xml:space="preserve">45%</w:t>
      </w:r>
      <w:r>
        <w:rPr>
          <w:rFonts w:hint="eastAsia" w:ascii="宋体" w:hAnsi="宋体" w:eastAsia="宋体"/>
          <w:sz w:val="24"/>
          <w:szCs w:val="24"/>
        </w:rPr>
        <w:t xml:space="preserve">；</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③</w:t>
      </w:r>
      <w:r>
        <w:rPr>
          <w:rFonts w:ascii="宋体" w:hAnsi="宋体" w:eastAsia="宋体"/>
          <w:sz w:val="24"/>
          <w:szCs w:val="24"/>
        </w:rPr>
        <w:t xml:space="preserve">评审委员会认定的供应商报价过低、有可能影响产品质量或者不能诚信履约的其他情形。</w:t>
      </w:r>
      <w:r/>
    </w:p>
    <w:p>
      <w:pPr>
        <w:ind w:firstLine="425"/>
        <w:spacing w:line="360" w:lineRule="auto"/>
        <w:rPr>
          <w:rFonts w:hint="eastAsia" w:ascii="宋体" w:hAnsi="宋体" w:eastAsia="宋体" w:cs="宋体"/>
          <w:sz w:val="24"/>
          <w:szCs w:val="24"/>
        </w:rPr>
      </w:pPr>
      <w:r>
        <w:rPr>
          <w:rFonts w:hint="eastAsia" w:ascii="宋体" w:hAnsi="宋体" w:eastAsia="宋体"/>
          <w:sz w:val="24"/>
          <w:szCs w:val="24"/>
        </w:rPr>
        <w:t xml:space="preserve">（2）符合上述</w:t>
      </w:r>
      <w:r>
        <w:rPr>
          <w:rFonts w:ascii="宋体" w:hAnsi="宋体" w:eastAsia="宋体"/>
          <w:sz w:val="24"/>
          <w:szCs w:val="24"/>
        </w:rPr>
        <w:t xml:space="preserve">启动异常低价投标</w:t>
      </w:r>
      <w:r>
        <w:rPr>
          <w:rFonts w:hint="eastAsia" w:ascii="宋体" w:hAnsi="宋体" w:eastAsia="宋体" w:cs="宋体"/>
          <w:sz w:val="24"/>
          <w:szCs w:val="24"/>
        </w:rPr>
        <w:t xml:space="preserve">（响应）</w:t>
      </w:r>
      <w:r>
        <w:rPr>
          <w:rFonts w:ascii="宋体" w:hAnsi="宋体" w:eastAsia="宋体"/>
          <w:sz w:val="24"/>
          <w:szCs w:val="24"/>
        </w:rPr>
        <w:t xml:space="preserve">审查</w:t>
      </w:r>
      <w:r>
        <w:rPr>
          <w:rFonts w:hint="eastAsia" w:ascii="宋体" w:hAnsi="宋体" w:eastAsia="宋体"/>
          <w:sz w:val="24"/>
          <w:szCs w:val="24"/>
        </w:rPr>
        <w:t xml:space="preserve">情形的，相关供应商应按</w:t>
      </w:r>
      <w:r>
        <w:rPr>
          <w:rFonts w:ascii="宋体" w:hAnsi="宋体" w:eastAsia="宋体"/>
          <w:sz w:val="24"/>
          <w:szCs w:val="24"/>
        </w:rPr>
        <w:t xml:space="preserve">评审委员会要求在评标现场提供项目具体成本测算等与报价合理性相关的书面说明及相关证明材料，对投标</w:t>
      </w:r>
      <w:r>
        <w:rPr>
          <w:rFonts w:hint="eastAsia" w:ascii="宋体" w:hAnsi="宋体" w:eastAsia="宋体" w:cs="宋体"/>
          <w:sz w:val="24"/>
          <w:szCs w:val="24"/>
        </w:rPr>
        <w:t xml:space="preserve">（响应）</w:t>
      </w:r>
      <w:r>
        <w:rPr>
          <w:rFonts w:ascii="宋体" w:hAnsi="宋体" w:eastAsia="宋体"/>
          <w:sz w:val="24"/>
          <w:szCs w:val="24"/>
        </w:rPr>
        <w:t xml:space="preserve">价格作出解释，由评审委员会结合同类产品在主要电商平台的价格、该行业当地薪资水平等情况，依据专业经验对供应商报价合理性进行判断。投标</w:t>
      </w:r>
      <w:r>
        <w:rPr>
          <w:rFonts w:hint="eastAsia" w:ascii="宋体" w:hAnsi="宋体" w:eastAsia="宋体" w:cs="宋体"/>
          <w:sz w:val="24"/>
          <w:szCs w:val="24"/>
        </w:rPr>
        <w:t xml:space="preserve">（响应）</w:t>
      </w:r>
      <w:r>
        <w:rPr>
          <w:rFonts w:ascii="宋体" w:hAnsi="宋体" w:eastAsia="宋体"/>
          <w:sz w:val="24"/>
          <w:szCs w:val="24"/>
        </w:rPr>
        <w:t xml:space="preserve">供应商不提供书面说明、证明材料,或者提供的书面说明、证明材料不能证明其报价合理性的，评审委员会应当将其作为无效投标</w:t>
      </w:r>
      <w:r>
        <w:rPr>
          <w:rFonts w:hint="eastAsia" w:ascii="宋体" w:hAnsi="宋体" w:eastAsia="宋体" w:cs="宋体"/>
          <w:sz w:val="24"/>
          <w:szCs w:val="24"/>
        </w:rPr>
        <w:t xml:space="preserve">（响应）</w:t>
      </w:r>
      <w:r>
        <w:rPr>
          <w:rFonts w:ascii="宋体" w:hAnsi="宋体" w:eastAsia="宋体"/>
          <w:sz w:val="24"/>
          <w:szCs w:val="24"/>
        </w:rPr>
        <w:t xml:space="preserve">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sz w:val="24"/>
          <w:szCs w:val="24"/>
        </w:rPr>
      </w:pPr>
      <w:r/>
      <w:bookmarkStart w:id="71"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w:t>
      </w:r>
      <w:bookmarkStart w:id="72" w:name="_Hlk193380191"/>
      <w:r>
        <w:rPr>
          <w:rFonts w:hint="eastAsia" w:ascii="宋体" w:hAnsi="宋体" w:eastAsia="宋体" w:cs="宋体"/>
          <w:sz w:val="24"/>
          <w:szCs w:val="24"/>
        </w:rPr>
        <w:t xml:space="preserve">满足招标文件要求，且投标（响应）价格最低的投标（响应）报价为评标基准价</w:t>
      </w:r>
      <w:bookmarkEnd w:id="72"/>
      <w:r>
        <w:rPr>
          <w:rFonts w:hint="eastAsia" w:ascii="宋体" w:hAnsi="宋体" w:eastAsia="宋体" w:cs="宋体"/>
          <w:sz w:val="24"/>
          <w:szCs w:val="24"/>
        </w:rPr>
        <w:t xml:space="preserve">，</w:t>
      </w:r>
      <w:bookmarkStart w:id="73"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分</w:t>
      </w:r>
      <w:bookmarkEnd w:id="73"/>
      <w:r>
        <w:rPr>
          <w:rFonts w:hint="eastAsia" w:ascii="宋体" w:hAnsi="宋体" w:eastAsia="宋体" w:cs="宋体"/>
          <w:sz w:val="24"/>
          <w:szCs w:val="24"/>
        </w:rPr>
        <w:t xml:space="preserve">。其他报价得分统一按照下列公式计算（计算结果四舍五入，保留两位小数）：</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%×100</w:t>
      </w:r>
      <w:r/>
    </w:p>
    <w:p>
      <w:pPr>
        <w:numPr>
          <w:ilvl w:val="0"/>
          <w:numId w:val="4"/>
        </w:num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技术部分：</w:t>
      </w:r>
      <w:r>
        <w:rPr>
          <w:rFonts w:hint="eastAsia" w:ascii="宋体" w:hAnsi="宋体" w:eastAsia="宋体" w:cs="宋体"/>
          <w:b/>
          <w:sz w:val="24"/>
          <w:szCs w:val="24"/>
          <w:u w:val="single"/>
        </w:rPr>
        <w:t xml:space="preserve"> 60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3116"/>
        <w:gridCol w:w="4632"/>
        <w:gridCol w:w="1176"/>
      </w:tblGrid>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63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17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针对本项目的花卉造景及摆放技术方案</w:t>
            </w:r>
            <w:r/>
          </w:p>
        </w:tc>
        <w:tc>
          <w:tcPr>
            <w:tcW w:w="4632"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花卉造景支架搭建及花卉摆放（须提供花卉品种、规格、数量等文字说明及彩色效果图）、相关管理制度、安全文明措施方案等进行综合评定打分。花卉造景及摆放技术方案科学合理，重点突出，针对性强，可操作性强的得12分；花卉造景及摆放技术方案较为合理，有重点，针对性较强，有可操作性的得</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分；有花卉造景及摆放技术方案但较为笼统，基本有可操作性的得</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分；不提供不得分。</w:t>
            </w:r>
            <w:r/>
          </w:p>
        </w:tc>
        <w:tc>
          <w:tcPr>
            <w:tcW w:w="117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0,4,8,12</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针对本项目供花计划、花卉养护方案</w:t>
            </w:r>
            <w:r/>
          </w:p>
        </w:tc>
        <w:tc>
          <w:tcPr>
            <w:tcW w:w="4632"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要求对供花时间、花卉组织及运输方案作详细说明，计划周密，措施有效，如供花时间、花卉组织及运输详细说明等。计划方案科学合理，重点突出，针对性强，可操作性强的得12分；计划方案较为科学合理，有重点及针对性，有可操作性的得</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分；有基本计划方案，但较为笼统的得</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分；不提供不得分。</w:t>
            </w:r>
            <w:r/>
          </w:p>
        </w:tc>
        <w:tc>
          <w:tcPr>
            <w:tcW w:w="117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0,4,8,12</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1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针对花卉摆放地内卫生保洁</w:t>
            </w:r>
            <w:r/>
          </w:p>
        </w:tc>
        <w:tc>
          <w:tcPr>
            <w:tcW w:w="4632"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包括摆放地内卫生保洁责任落实制度</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花卉或景点发生破坏第一时间上报制度等进行综合评定打分。卫生保洁工作措施有效扎实，管理责任清晰的得12分；卫生保洁工作措施较为合理有效，管理责任较为清晰的得</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分；有卫生保洁工作措施及管理责任划分，但较为笼统的得</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分；不提供不得分。</w:t>
            </w:r>
            <w:r/>
          </w:p>
        </w:tc>
        <w:tc>
          <w:tcPr>
            <w:tcW w:w="117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0,4,8,12</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311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针对项目工作人员安排计划合理，组织管理体系科学，能够有效实施花卉造景摆放及养护管理工作</w:t>
            </w:r>
            <w:r/>
          </w:p>
        </w:tc>
        <w:tc>
          <w:tcPr>
            <w:tcW w:w="4632"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包括各专业工种人员的配备以及劳动力安排等进行综合评定打分。人员安排科学合理，重点突出，针对性强，可操作性强的得12分；人员安排较为科学合理，有重点及针对性，有可操作性的得</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分；有人员安排方案，基本具有可操作性，但较为笼统的得</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分；不提供不得分。</w:t>
            </w:r>
            <w:r/>
          </w:p>
        </w:tc>
        <w:tc>
          <w:tcPr>
            <w:tcW w:w="117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0,4,8,12</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311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针对花卉景点展览期间的养</w:t>
            </w:r>
            <w:r>
              <w:rPr>
                <w:rFonts w:hint="eastAsia" w:ascii="宋体" w:hAnsi="宋体" w:eastAsia="宋体" w:cs="宋体"/>
                <w:bCs/>
                <w:sz w:val="24"/>
                <w:szCs w:val="24"/>
              </w:rPr>
              <w:t xml:space="preserve">护管理方案</w:t>
            </w:r>
            <w:r/>
          </w:p>
        </w:tc>
        <w:tc>
          <w:tcPr>
            <w:tcW w:w="4632"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包括设施维护管理措施、病虫害防治措</w:t>
            </w:r>
            <w:r>
              <w:rPr>
                <w:rFonts w:hint="eastAsia" w:ascii="宋体" w:hAnsi="宋体" w:eastAsia="宋体" w:cs="宋体"/>
                <w:bCs/>
                <w:sz w:val="24"/>
                <w:szCs w:val="24"/>
              </w:rPr>
              <w:t xml:space="preserve">施、养护档案管理制度等进行综合评定打分。技术方案和设施维护管理措施科学合理，重点突出，针对性强的得12分；技术方案和设施维护管理措施合理，有重点，具有针对性的得</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分；技术方案和设施维护管理措施总体简单，重点模糊，针对性不强的得</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分；不提供不得分。</w:t>
            </w:r>
            <w:r/>
          </w:p>
        </w:tc>
        <w:tc>
          <w:tcPr>
            <w:tcW w:w="117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0,4,8,12</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10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3141"/>
        <w:gridCol w:w="4655"/>
        <w:gridCol w:w="1128"/>
      </w:tblGrid>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65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12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拟投入本项目的项目人员1</w:t>
            </w:r>
            <w:r/>
          </w:p>
        </w:tc>
        <w:tc>
          <w:tcPr>
            <w:tcW w:w="4655"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拟投入本项目的项目人员（项目负责人除外）具有园林绿化及相关专业高级工程师职称证得2分，具有中级工程师职称证得1分，本项最高得2分。投标文件中提供职称证书扫描件及投标单位为其缴纳的近期社保证明扫描件，未提供或提供不全的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注：“园林绿化及相关专业”指：与园林绿化工程规划、设计、施工及养护管理相关的专业，包括园林（含园林规划设计、园林植物、风景园林、园林绿化等）、园艺、城市规划、景观、植物（含植保、森保等）、风景旅游、环境艺术等专业。</w:t>
            </w:r>
            <w:r/>
          </w:p>
        </w:tc>
        <w:tc>
          <w:tcPr>
            <w:tcW w:w="112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拟投入本项目的项目人员2</w:t>
            </w:r>
            <w:r/>
          </w:p>
        </w:tc>
        <w:tc>
          <w:tcPr>
            <w:tcW w:w="4655"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拟投入本项目的项目人员（项目负责人除外）具有绿化工/花卉园艺工相关证书的，每提供1人得1分，最高得4分。投标文件提供相关技术工种证或职业资格证书扫描件及投标单位为其缴纳的近期社保证明扫描件，未提供或提供不全的不得分。</w:t>
            </w:r>
            <w:r/>
          </w:p>
        </w:tc>
        <w:tc>
          <w:tcPr>
            <w:tcW w:w="112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企业综合实力比较</w:t>
            </w:r>
            <w:r/>
          </w:p>
        </w:tc>
        <w:tc>
          <w:tcPr>
            <w:tcW w:w="4655"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投标单位自2022年1月1日至今（以合同签订时间为准）承接完成过类似摆花或花境造景业绩，有一份得4分，最高得4分。投标文件中提供项目合同扫描件，未提供或提供不全的不得分。</w:t>
            </w:r>
            <w:r/>
          </w:p>
        </w:tc>
        <w:tc>
          <w:tcPr>
            <w:tcW w:w="112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1、针对评分标准中评分的每一条，供应商在投标（响应）文件中均应提供相关资料的清晰扫描件并作出相应说明供评委评判，未提供或提供不完整的视为不具备该项得分的条件。</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2、上述拟投入本项目的项目人员评分项中同一人员不重复得分。</w:t>
      </w:r>
      <w:r/>
    </w:p>
    <w:p>
      <w:pPr>
        <w:jc w:val="left"/>
        <w:widowControl/>
        <w:rPr>
          <w:rFonts w:hint="eastAsia" w:ascii="宋体" w:hAnsi="宋体" w:eastAsia="宋体" w:cs="宋体"/>
          <w:b/>
          <w:bCs/>
          <w:sz w:val="24"/>
          <w:szCs w:val="24"/>
        </w:rPr>
      </w:pPr>
      <w:r/>
      <w:bookmarkStart w:id="74" w:name="_Toc48723925"/>
      <w:r/>
      <w:bookmarkStart w:id="75" w:name="_Toc105940243"/>
      <w:r>
        <w:rPr>
          <w:rFonts w:hint="eastAsia" w:ascii="宋体" w:hAnsi="宋体" w:eastAsia="宋体" w:cs="宋体"/>
          <w:b/>
          <w:bCs/>
          <w:sz w:val="24"/>
          <w:szCs w:val="24"/>
        </w:rPr>
        <w:br w:type="page" w:clear="all"/>
      </w:r>
      <w:r/>
    </w:p>
    <w:p>
      <w:pPr>
        <w:ind w:firstLine="482"/>
        <w:spacing w:line="360" w:lineRule="auto"/>
        <w:rPr>
          <w:rFonts w:hint="eastAsia" w:ascii="宋体" w:hAnsi="宋体" w:eastAsia="宋体" w:cs="宋体"/>
          <w:b/>
          <w:szCs w:val="21"/>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（一）中、小企业</w:t>
      </w:r>
      <w:r/>
    </w:p>
    <w:p>
      <w:pPr>
        <w:ind w:firstLine="480"/>
        <w:spacing w:line="360" w:lineRule="auto"/>
        <w:rPr>
          <w:rFonts w:hint="eastAsia" w:ascii="宋体" w:hAnsi="宋体" w:eastAsia="宋体" w:cs="宋体"/>
          <w:sz w:val="24"/>
          <w:szCs w:val="24"/>
        </w:rPr>
      </w:pPr>
      <w:r/>
      <w:bookmarkStart w:id="76" w:name="_Hlk193380633"/>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1、本项目属于专门面向中小企业的项目。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2、本项目采购标的对应的中小企业划分标准所属行业为</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，承接服务的供应商应为中小微企业、监狱企业、残疾人福利性单位。</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6、若供应商提供的《中小企业声明函》为虚假声明则视同提供虚假材料，按政府采购相关规定处理并报请政府监管部门给予行政处罚。</w:t>
      </w:r>
      <w:bookmarkEnd w:id="76"/>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pStyle w:val="991"/>
        <w:rPr>
          <w:rFonts w:hint="eastAsia" w:ascii="宋体" w:hAnsi="宋体" w:eastAsia="宋体" w:cs="宋体"/>
        </w:rPr>
      </w:pPr>
      <w:r>
        <w:rPr>
          <w:rFonts w:hint="eastAsia" w:ascii="宋体" w:hAnsi="宋体" w:eastAsia="宋体" w:cs="宋体"/>
        </w:rPr>
      </w:r>
      <w:r/>
    </w:p>
    <w:p>
      <w:pPr>
        <w:pStyle w:val="991"/>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91"/>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91"/>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91"/>
        <w:jc w:val="left"/>
        <w:rPr>
          <w:rFonts w:hint="eastAsia" w:ascii="宋体" w:hAnsi="宋体" w:eastAsia="宋体" w:cs="宋体"/>
          <w:szCs w:val="24"/>
        </w:rPr>
      </w:pPr>
      <w:r>
        <w:rPr>
          <w:rFonts w:hint="eastAsia" w:ascii="宋体" w:hAnsi="宋体" w:eastAsia="宋体" w:cs="宋体"/>
          <w:szCs w:val="24"/>
        </w:rPr>
      </w:r>
      <w:r/>
    </w:p>
    <w:p>
      <w:r/>
      <w:r/>
    </w:p>
    <w:p>
      <w:r/>
      <w:r/>
    </w:p>
    <w:p>
      <w:r/>
      <w:r/>
    </w:p>
    <w:p>
      <w:r/>
      <w:r/>
    </w:p>
    <w:p>
      <w:pPr>
        <w:jc w:val="left"/>
        <w:rPr>
          <w:rFonts w:hint="eastAsia" w:ascii="宋体" w:hAnsi="宋体" w:eastAsia="宋体" w:cs="宋体"/>
        </w:rPr>
      </w:pPr>
      <w:r>
        <w:rPr>
          <w:rFonts w:hint="eastAsia" w:ascii="宋体" w:hAnsi="宋体" w:eastAsia="宋体" w:cs="宋体"/>
        </w:rPr>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b/>
          <w:sz w:val="52"/>
          <w:szCs w:val="20"/>
          <w:shd w:val="clear" w:color="auto" w:fill="ffffff"/>
        </w:rPr>
        <w:t xml:space="preserve">第七章 附件</w:t>
      </w:r>
      <w:bookmarkEnd w:id="74"/>
      <w:r/>
      <w:bookmarkEnd w:id="75"/>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附件2：中小企业相关要求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rPr>
          <w:rFonts w:hint="eastAsia" w:ascii="宋体" w:hAnsi="宋体" w:eastAsia="宋体" w:cs="宋体"/>
        </w:rPr>
      </w:pPr>
      <w:r>
        <w:rPr>
          <w:rFonts w:hint="eastAsia" w:ascii="宋体" w:hAnsi="宋体" w:eastAsia="宋体" w:cs="宋体"/>
        </w:rPr>
        <w:br w:type="page" w:clear="all"/>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068"/>
        <w:ind w:firstLine="0"/>
        <w:jc w:val="left"/>
        <w:rPr>
          <w:rFonts w:hint="eastAsia" w:ascii="宋体" w:hAnsi="宋体" w:eastAsia="宋体" w:cs="宋体"/>
          <w:b/>
          <w:bCs/>
        </w:rPr>
      </w:pPr>
      <w:r>
        <w:rPr>
          <w:rFonts w:hint="eastAsia" w:ascii="宋体" w:hAnsi="宋体" w:eastAsia="宋体" w:cs="宋体"/>
          <w:b/>
          <w:bCs/>
        </w:rPr>
        <w:t xml:space="preserve">附件2：</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中小企业相关要求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如未对（中型企业、小型企业、微型企业）进行勾选，视同非中小微企业，不可享受相应扶持政策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1068"/>
        <w:ind w:firstLine="0"/>
        <w:jc w:val="left"/>
        <w:rPr>
          <w:rFonts w:hint="eastAsia" w:ascii="宋体" w:hAnsi="宋体" w:eastAsia="宋体" w:cs="宋体"/>
          <w:b/>
          <w:bCs/>
        </w:rPr>
      </w:pPr>
      <w:r>
        <w:rPr>
          <w:rFonts w:hint="eastAsia" w:ascii="宋体" w:hAnsi="宋体" w:eastAsia="宋体" w:cs="宋体"/>
          <w:b/>
          <w:bCs/>
        </w:rPr>
        <w:t xml:space="preserve">附件3：</w:t>
      </w:r>
      <w:r/>
    </w:p>
    <w:p>
      <w:pPr>
        <w:pStyle w:val="1068"/>
        <w:ind w:firstLine="0"/>
        <w:jc w:val="center"/>
        <w:rPr>
          <w:rFonts w:hint="eastAsia"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w:t>
      </w:r>
      <w:r>
        <w:rPr>
          <w:rFonts w:hint="eastAsia" w:ascii="宋体" w:hAnsi="宋体" w:eastAsia="宋体" w:cs="宋体"/>
        </w:rPr>
        <w:t xml:space="preserve">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right"/>
        <w:rPr>
          <w:rFonts w:hint="eastAsia" w:ascii="宋体" w:hAnsi="宋体" w:eastAsia="宋体" w:cs="宋体"/>
          <w:b/>
          <w:bCs/>
        </w:rPr>
      </w:pPr>
      <w:r>
        <w:rPr>
          <w:rFonts w:hint="eastAsia" w:ascii="宋体" w:hAnsi="宋体" w:eastAsia="宋体" w:cs="宋体"/>
          <w:b/>
          <w:bCs/>
          <w:sz w:val="24"/>
          <w:szCs w:val="20"/>
          <w:shd w:val="clear" w:color="auto" w:fill="ffffff"/>
        </w:rPr>
        <w:t xml:space="preserve">（全文完）</w:t>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1003"/>
                            <w:rPr>
                              <w:rFonts w:hint="eastAsia"/>
                            </w:rPr>
                          </w:pPr>
                          <w:r>
                            <w:rPr>
                              <w:rFonts w:hint="eastAsia"/>
                            </w:r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003"/>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4989830</wp:posOffset>
              </wp:positionH>
              <wp:positionV relativeFrom="paragraph">
                <wp:posOffset>148590</wp:posOffset>
              </wp:positionV>
              <wp:extent cx="1071245" cy="175895"/>
              <wp:effectExtent l="0" t="0" r="14604" b="14604"/>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071562" cy="17621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rPr>
                              <w:rFonts w:hint="eastAsia"/>
                            </w:rPr>
                          </w:pPr>
                          <w:r>
                            <w:t xml:space="preserve">第 </w:t>
                          </w:r>
                          <w:r>
                            <w:fldChar w:fldCharType="begin"/>
                          </w:r>
                          <w:r>
                            <w:instrText xml:space="preserve"> PAGE  \* MERGEFORMAT </w:instrText>
                          </w:r>
                          <w:r>
                            <w:fldChar w:fldCharType="separate"/>
                          </w:r>
                          <w:r>
                            <w:t xml:space="preserve">63</w:t>
                          </w:r>
                          <w:r>
                            <w:fldChar w:fldCharType="end"/>
                          </w:r>
                          <w:r>
                            <w:t xml:space="preserve"> 页 共 </w:t>
                          </w:r>
                          <w:r>
                            <w:rPr>
                              <w:rFonts w:hint="eastAsia"/>
                            </w:rPr>
                            <w:t xml:space="preserve">68</w:t>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3360;o:allowoverlap:true;o:allowincell:true;mso-position-horizontal-relative:margin;margin-left:392.9pt;mso-position-horizontal:absolute;mso-position-vertical-relative:text;margin-top:11.7pt;mso-position-vertical:absolute;width:84.3pt;height:13.8pt;mso-wrap-distance-left:9.0pt;mso-wrap-distance-top:0.0pt;mso-wrap-distance-right:9.0pt;mso-wrap-distance-bottom:0.0pt;v-text-anchor:top;visibility:visible;" filled="f" stroked="f" strokeweight="0.50pt">
              <v:textbox inset="0,0,0,0">
                <w:txbxContent>
                  <w:p>
                    <w:pPr>
                      <w:pStyle w:val="1003"/>
                      <w:rPr>
                        <w:rFonts w:hint="eastAsia"/>
                      </w:rPr>
                    </w:pPr>
                    <w:r>
                      <w:t xml:space="preserve">第 </w:t>
                    </w:r>
                    <w:r>
                      <w:fldChar w:fldCharType="begin"/>
                    </w:r>
                    <w:r>
                      <w:instrText xml:space="preserve"> PAGE  \* MERGEFORMAT </w:instrText>
                    </w:r>
                    <w:r>
                      <w:fldChar w:fldCharType="separate"/>
                    </w:r>
                    <w:r>
                      <w:t xml:space="preserve">63</w:t>
                    </w:r>
                    <w:r>
                      <w:fldChar w:fldCharType="end"/>
                    </w:r>
                    <w:r>
                      <w:t xml:space="preserve"> 页 共 </w:t>
                    </w:r>
                    <w:r>
                      <w:rPr>
                        <w:rFonts w:hint="eastAsia"/>
                      </w:rPr>
                      <w:t xml:space="preserve">68</w:t>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rPr>
        <w:rFonts w:hint="eastAsia" w:ascii="宋体" w:hAnsi="宋体" w:eastAsia="宋体"/>
      </w:rPr>
    </w:pPr>
    <w:r>
      <w:rPr>
        <w:rFonts w:hint="eastAsia" w:ascii="宋体" w:hAnsi="宋体" w:eastAsia="宋体"/>
      </w:rPr>
      <w:t xml:space="preserve">政府采购招标文件                                                         标号：</w:t>
    </w:r>
    <w:r>
      <w:rPr>
        <w:rFonts w:ascii="宋体" w:hAnsi="宋体" w:eastAsia="宋体"/>
      </w:rPr>
      <w:t xml:space="preserve">JSZC-320500-SZCH-G2025-0109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72"/>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1097"/>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1 Char"/>
    <w:basedOn w:val="980"/>
    <w:link w:val="974"/>
    <w:uiPriority w:val="9"/>
    <w:rPr>
      <w:rFonts w:ascii="Arial" w:hAnsi="Arial" w:eastAsia="Arial" w:cs="Arial"/>
      <w:sz w:val="40"/>
      <w:szCs w:val="40"/>
    </w:rPr>
  </w:style>
  <w:style w:type="character" w:styleId="823">
    <w:name w:val="Heading 2 Char"/>
    <w:basedOn w:val="980"/>
    <w:link w:val="975"/>
    <w:uiPriority w:val="9"/>
    <w:rPr>
      <w:rFonts w:ascii="Arial" w:hAnsi="Arial" w:eastAsia="Arial" w:cs="Arial"/>
      <w:sz w:val="34"/>
    </w:rPr>
  </w:style>
  <w:style w:type="character" w:styleId="824">
    <w:name w:val="Heading 3 Char"/>
    <w:basedOn w:val="980"/>
    <w:link w:val="976"/>
    <w:uiPriority w:val="9"/>
    <w:rPr>
      <w:rFonts w:ascii="Arial" w:hAnsi="Arial" w:eastAsia="Arial" w:cs="Arial"/>
      <w:sz w:val="30"/>
      <w:szCs w:val="30"/>
    </w:rPr>
  </w:style>
  <w:style w:type="character" w:styleId="825">
    <w:name w:val="Heading 4 Char"/>
    <w:basedOn w:val="980"/>
    <w:link w:val="977"/>
    <w:uiPriority w:val="9"/>
    <w:rPr>
      <w:rFonts w:ascii="Arial" w:hAnsi="Arial" w:eastAsia="Arial" w:cs="Arial"/>
      <w:b/>
      <w:bCs/>
      <w:sz w:val="26"/>
      <w:szCs w:val="26"/>
    </w:rPr>
  </w:style>
  <w:style w:type="character" w:styleId="826">
    <w:name w:val="Heading 5 Char"/>
    <w:basedOn w:val="980"/>
    <w:link w:val="978"/>
    <w:uiPriority w:val="9"/>
    <w:rPr>
      <w:rFonts w:ascii="Arial" w:hAnsi="Arial" w:eastAsia="Arial" w:cs="Arial"/>
      <w:b/>
      <w:bCs/>
      <w:sz w:val="24"/>
      <w:szCs w:val="24"/>
    </w:rPr>
  </w:style>
  <w:style w:type="character" w:styleId="827">
    <w:name w:val="Heading 6 Char"/>
    <w:basedOn w:val="980"/>
    <w:link w:val="979"/>
    <w:uiPriority w:val="9"/>
    <w:rPr>
      <w:rFonts w:ascii="Arial" w:hAnsi="Arial" w:eastAsia="Arial" w:cs="Arial"/>
      <w:b/>
      <w:bCs/>
      <w:sz w:val="22"/>
      <w:szCs w:val="22"/>
    </w:rPr>
  </w:style>
  <w:style w:type="paragraph" w:styleId="828">
    <w:name w:val="Heading 7"/>
    <w:basedOn w:val="973"/>
    <w:next w:val="973"/>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basedOn w:val="980"/>
    <w:link w:val="828"/>
    <w:uiPriority w:val="9"/>
    <w:rPr>
      <w:rFonts w:ascii="Arial" w:hAnsi="Arial" w:eastAsia="Arial" w:cs="Arial"/>
      <w:b/>
      <w:bCs/>
      <w:i/>
      <w:iCs/>
      <w:sz w:val="22"/>
      <w:szCs w:val="22"/>
    </w:rPr>
  </w:style>
  <w:style w:type="paragraph" w:styleId="830">
    <w:name w:val="Heading 8"/>
    <w:basedOn w:val="973"/>
    <w:next w:val="973"/>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basedOn w:val="980"/>
    <w:link w:val="830"/>
    <w:uiPriority w:val="9"/>
    <w:rPr>
      <w:rFonts w:ascii="Arial" w:hAnsi="Arial" w:eastAsia="Arial" w:cs="Arial"/>
      <w:i/>
      <w:iCs/>
      <w:sz w:val="22"/>
      <w:szCs w:val="22"/>
    </w:rPr>
  </w:style>
  <w:style w:type="paragraph" w:styleId="832">
    <w:name w:val="Heading 9"/>
    <w:basedOn w:val="973"/>
    <w:next w:val="973"/>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basedOn w:val="980"/>
    <w:link w:val="832"/>
    <w:uiPriority w:val="9"/>
    <w:rPr>
      <w:rFonts w:ascii="Arial" w:hAnsi="Arial" w:eastAsia="Arial" w:cs="Arial"/>
      <w:i/>
      <w:iCs/>
      <w:sz w:val="21"/>
      <w:szCs w:val="21"/>
    </w:rPr>
  </w:style>
  <w:style w:type="paragraph" w:styleId="834">
    <w:name w:val="No Spacing"/>
    <w:uiPriority w:val="1"/>
    <w:qFormat/>
    <w:pPr>
      <w:spacing w:before="0" w:after="0" w:line="240" w:lineRule="auto"/>
    </w:pPr>
  </w:style>
  <w:style w:type="character" w:styleId="835">
    <w:name w:val="Title Char"/>
    <w:basedOn w:val="980"/>
    <w:link w:val="1021"/>
    <w:uiPriority w:val="10"/>
    <w:rPr>
      <w:sz w:val="48"/>
      <w:szCs w:val="48"/>
    </w:rPr>
  </w:style>
  <w:style w:type="character" w:styleId="836">
    <w:name w:val="Subtitle Char"/>
    <w:basedOn w:val="980"/>
    <w:link w:val="1009"/>
    <w:uiPriority w:val="11"/>
    <w:rPr>
      <w:sz w:val="24"/>
      <w:szCs w:val="24"/>
    </w:rPr>
  </w:style>
  <w:style w:type="paragraph" w:styleId="837">
    <w:name w:val="Quote"/>
    <w:basedOn w:val="973"/>
    <w:next w:val="973"/>
    <w:link w:val="838"/>
    <w:uiPriority w:val="29"/>
    <w:qFormat/>
    <w:pPr>
      <w:ind w:left="720" w:right="720"/>
    </w:pPr>
    <w:rPr>
      <w:i/>
    </w:rPr>
  </w:style>
  <w:style w:type="character" w:styleId="838">
    <w:name w:val="Quote Char"/>
    <w:link w:val="837"/>
    <w:uiPriority w:val="29"/>
    <w:rPr>
      <w:i/>
    </w:rPr>
  </w:style>
  <w:style w:type="paragraph" w:styleId="839">
    <w:name w:val="Intense Quote"/>
    <w:basedOn w:val="973"/>
    <w:next w:val="973"/>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character" w:styleId="841">
    <w:name w:val="Header Char"/>
    <w:basedOn w:val="980"/>
    <w:link w:val="1004"/>
    <w:uiPriority w:val="99"/>
  </w:style>
  <w:style w:type="character" w:styleId="842">
    <w:name w:val="Footer Char"/>
    <w:basedOn w:val="980"/>
    <w:link w:val="1003"/>
    <w:uiPriority w:val="99"/>
  </w:style>
  <w:style w:type="paragraph" w:styleId="843">
    <w:name w:val="Caption"/>
    <w:basedOn w:val="973"/>
    <w:next w:val="973"/>
    <w:uiPriority w:val="35"/>
    <w:semiHidden/>
    <w:unhideWhenUsed/>
    <w:qFormat/>
    <w:pPr>
      <w:spacing w:line="276" w:lineRule="auto"/>
    </w:pPr>
    <w:rPr>
      <w:b/>
      <w:bCs/>
      <w:color w:val="4f81bd" w:themeColor="accent1"/>
      <w:sz w:val="18"/>
      <w:szCs w:val="18"/>
    </w:rPr>
  </w:style>
  <w:style w:type="character" w:styleId="844">
    <w:name w:val="Caption Char"/>
    <w:basedOn w:val="843"/>
    <w:link w:val="1003"/>
    <w:uiPriority w:val="99"/>
  </w:style>
  <w:style w:type="table" w:styleId="845">
    <w:name w:val="Table Grid Light"/>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basedOn w:val="9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basedOn w:val="9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basedOn w:val="9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basedOn w:val="9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basedOn w:val="9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basedOn w:val="9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basedOn w:val="9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basedOn w:val="9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basedOn w:val="9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basedOn w:val="9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basedOn w:val="9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basedOn w:val="9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basedOn w:val="9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basedOn w:val="9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basedOn w:val="9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basedOn w:val="9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basedOn w:val="9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basedOn w:val="9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basedOn w:val="9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basedOn w:val="9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basedOn w:val="9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basedOn w:val="9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basedOn w:val="9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basedOn w:val="9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basedOn w:val="9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basedOn w:val="9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basedOn w:val="9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basedOn w:val="9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basedOn w:val="9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basedOn w:val="9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basedOn w:val="9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basedOn w:val="9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basedOn w:val="9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basedOn w:val="9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basedOn w:val="9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basedOn w:val="9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basedOn w:val="9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basedOn w:val="9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basedOn w:val="9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basedOn w:val="9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basedOn w:val="9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basedOn w:val="9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basedOn w:val="9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basedOn w:val="9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basedOn w:val="9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basedOn w:val="9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basedOn w:val="9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basedOn w:val="9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basedOn w:val="9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basedOn w:val="9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basedOn w:val="9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basedOn w:val="9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basedOn w:val="9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basedOn w:val="9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basedOn w:val="9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basedOn w:val="9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basedOn w:val="9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basedOn w:val="9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basedOn w:val="9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basedOn w:val="9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basedOn w:val="9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basedOn w:val="9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Footnote Text Char"/>
    <w:link w:val="1010"/>
    <w:uiPriority w:val="99"/>
    <w:rPr>
      <w:sz w:val="18"/>
    </w:rPr>
  </w:style>
  <w:style w:type="character" w:styleId="971">
    <w:name w:val="Endnote Text Char"/>
    <w:link w:val="1001"/>
    <w:uiPriority w:val="99"/>
    <w:rPr>
      <w:sz w:val="20"/>
    </w:rPr>
  </w:style>
  <w:style w:type="paragraph" w:styleId="972">
    <w:name w:val="TOC Heading"/>
    <w:uiPriority w:val="39"/>
    <w:unhideWhenUsed/>
  </w:style>
  <w:style w:type="paragraph" w:styleId="973" w:default="1">
    <w:name w:val="Normal"/>
    <w:qFormat/>
    <w:pPr>
      <w:jc w:val="both"/>
      <w:widowControl w:val="off"/>
    </w:pPr>
    <w:rPr>
      <w:rFonts w:asciiTheme="minorHAnsi" w:hAnsiTheme="minorHAnsi" w:eastAsiaTheme="minorEastAsia" w:cstheme="minorBidi"/>
      <w:sz w:val="21"/>
      <w:szCs w:val="22"/>
    </w:rPr>
  </w:style>
  <w:style w:type="paragraph" w:styleId="974">
    <w:name w:val="Heading 1"/>
    <w:basedOn w:val="973"/>
    <w:next w:val="973"/>
    <w:link w:val="1034"/>
    <w:qFormat/>
    <w:pPr>
      <w:keepLines/>
      <w:keepNext/>
      <w:spacing w:before="340" w:after="330" w:line="578" w:lineRule="auto"/>
      <w:outlineLvl w:val="0"/>
    </w:pPr>
    <w:rPr>
      <w:rFonts w:ascii="Calibri" w:hAnsi="Calibri" w:eastAsia="楷体_GB2312" w:cs="Times New Roman"/>
      <w:b/>
      <w:sz w:val="44"/>
      <w:szCs w:val="20"/>
    </w:rPr>
  </w:style>
  <w:style w:type="paragraph" w:styleId="975">
    <w:name w:val="Heading 2"/>
    <w:basedOn w:val="973"/>
    <w:next w:val="973"/>
    <w:link w:val="1035"/>
    <w:qFormat/>
    <w:pPr>
      <w:jc w:val="left"/>
      <w:keepLines/>
      <w:keepNext/>
      <w:outlineLvl w:val="1"/>
    </w:pPr>
    <w:rPr>
      <w:rFonts w:ascii="宋体" w:hAnsi="宋体" w:eastAsia="楷体_GB2312" w:cs="Times New Roman"/>
      <w:b/>
      <w:sz w:val="26"/>
      <w:szCs w:val="20"/>
    </w:rPr>
  </w:style>
  <w:style w:type="paragraph" w:styleId="976">
    <w:name w:val="Heading 3"/>
    <w:basedOn w:val="973"/>
    <w:next w:val="973"/>
    <w:link w:val="1036"/>
    <w:qFormat/>
    <w:pPr>
      <w:jc w:val="left"/>
      <w:keepLines/>
      <w:keepNext/>
      <w:outlineLvl w:val="2"/>
    </w:pPr>
    <w:rPr>
      <w:rFonts w:ascii="Calibri" w:hAnsi="Calibri" w:eastAsia="楷体_GB2312" w:cs="Times New Roman"/>
      <w:b/>
      <w:sz w:val="26"/>
      <w:szCs w:val="20"/>
    </w:rPr>
  </w:style>
  <w:style w:type="paragraph" w:styleId="977">
    <w:name w:val="Heading 4"/>
    <w:basedOn w:val="973"/>
    <w:next w:val="973"/>
    <w:link w:val="1037"/>
    <w:qFormat/>
    <w:pPr>
      <w:keepLines/>
      <w:keepNext/>
      <w:spacing w:before="280" w:after="290" w:line="376" w:lineRule="auto"/>
      <w:outlineLvl w:val="3"/>
    </w:pPr>
    <w:rPr>
      <w:rFonts w:ascii="Arial" w:hAnsi="Arial" w:eastAsia="黑体" w:cs="Times New Roman"/>
      <w:b/>
      <w:bCs/>
      <w:sz w:val="28"/>
      <w:szCs w:val="28"/>
    </w:rPr>
  </w:style>
  <w:style w:type="paragraph" w:styleId="978">
    <w:name w:val="Heading 5"/>
    <w:basedOn w:val="973"/>
    <w:next w:val="973"/>
    <w:link w:val="1038"/>
    <w:qFormat/>
    <w:pPr>
      <w:keepNext/>
      <w:outlineLvl w:val="4"/>
    </w:pPr>
    <w:rPr>
      <w:rFonts w:ascii="宋体" w:hAnsi="宋体" w:eastAsia="宋体" w:cs="Times New Roman"/>
      <w:color w:val="000000"/>
      <w:sz w:val="28"/>
      <w:szCs w:val="20"/>
    </w:rPr>
  </w:style>
  <w:style w:type="paragraph" w:styleId="979">
    <w:name w:val="Heading 6"/>
    <w:basedOn w:val="973"/>
    <w:next w:val="973"/>
    <w:link w:val="1039"/>
    <w:qFormat/>
    <w:pPr>
      <w:keepNext/>
      <w:outlineLvl w:val="5"/>
    </w:pPr>
    <w:rPr>
      <w:rFonts w:ascii="宋体" w:hAnsi="宋体" w:eastAsia="宋体" w:cs="Times New Roman"/>
      <w:sz w:val="28"/>
      <w:szCs w:val="20"/>
    </w:rPr>
  </w:style>
  <w:style w:type="character" w:styleId="980" w:default="1">
    <w:name w:val="Default Paragraph Font"/>
    <w:uiPriority w:val="1"/>
    <w:semiHidden/>
    <w:unhideWhenUsed/>
  </w:style>
  <w:style w:type="table" w:styleId="981" w:default="1">
    <w:name w:val="Normal Table"/>
    <w:uiPriority w:val="99"/>
    <w:semiHidden/>
    <w:unhideWhenUsed/>
    <w:tblPr>
      <w:tblInd w:w="0" w:type="dxa"/>
      <w:tblCellMar>
        <w:left w:w="108" w:type="dxa"/>
        <w:top w:w="0" w:type="dxa"/>
        <w:right w:w="108" w:type="dxa"/>
        <w:bottom w:w="0" w:type="dxa"/>
      </w:tblCellMar>
    </w:tblPr>
  </w:style>
  <w:style w:type="numbering" w:styleId="982" w:default="1">
    <w:name w:val="No List"/>
    <w:uiPriority w:val="99"/>
    <w:semiHidden/>
    <w:unhideWhenUsed/>
  </w:style>
  <w:style w:type="paragraph" w:styleId="983">
    <w:name w:val="toc 7"/>
    <w:basedOn w:val="973"/>
    <w:next w:val="973"/>
    <w:qFormat/>
    <w:pPr>
      <w:ind w:left="2520"/>
    </w:pPr>
    <w:rPr>
      <w:rFonts w:ascii="Calibri" w:hAnsi="Calibri" w:eastAsia="楷体_GB2312" w:cs="Times New Roman"/>
      <w:sz w:val="26"/>
      <w:szCs w:val="20"/>
    </w:rPr>
  </w:style>
  <w:style w:type="paragraph" w:styleId="984">
    <w:name w:val="index 8"/>
    <w:basedOn w:val="973"/>
    <w:next w:val="973"/>
    <w:qFormat/>
    <w:pPr>
      <w:ind w:left="2940"/>
    </w:pPr>
    <w:rPr>
      <w:rFonts w:ascii="Calibri" w:hAnsi="Calibri" w:eastAsia="楷体_GB2312" w:cs="Times New Roman"/>
      <w:sz w:val="26"/>
      <w:szCs w:val="20"/>
    </w:rPr>
  </w:style>
  <w:style w:type="paragraph" w:styleId="985">
    <w:name w:val="Normal Indent"/>
    <w:basedOn w:val="973"/>
    <w:next w:val="973"/>
    <w:link w:val="1040"/>
    <w:qFormat/>
    <w:pPr>
      <w:ind w:firstLine="420"/>
      <w:jc w:val="left"/>
    </w:pPr>
    <w:rPr>
      <w:rFonts w:ascii="Calibri" w:hAnsi="Calibri" w:eastAsia="楷体_GB2312" w:cs="Times New Roman"/>
      <w:sz w:val="24"/>
      <w:szCs w:val="20"/>
    </w:rPr>
  </w:style>
  <w:style w:type="paragraph" w:styleId="986">
    <w:name w:val="index 5"/>
    <w:basedOn w:val="973"/>
    <w:next w:val="973"/>
    <w:qFormat/>
    <w:pPr>
      <w:ind w:left="1680"/>
    </w:pPr>
    <w:rPr>
      <w:rFonts w:ascii="Calibri" w:hAnsi="Calibri" w:eastAsia="楷体_GB2312" w:cs="Times New Roman"/>
      <w:sz w:val="26"/>
      <w:szCs w:val="20"/>
    </w:rPr>
  </w:style>
  <w:style w:type="paragraph" w:styleId="987">
    <w:name w:val="Document Map"/>
    <w:basedOn w:val="973"/>
    <w:link w:val="1041"/>
    <w:qFormat/>
    <w:pPr>
      <w:shd w:val="clear" w:color="auto" w:fill="000080"/>
    </w:pPr>
    <w:rPr>
      <w:rFonts w:ascii="Calibri" w:hAnsi="Calibri" w:eastAsia="楷体_GB2312" w:cs="Times New Roman"/>
      <w:sz w:val="26"/>
      <w:szCs w:val="20"/>
    </w:rPr>
  </w:style>
  <w:style w:type="paragraph" w:styleId="988">
    <w:name w:val="annotation text"/>
    <w:basedOn w:val="973"/>
    <w:link w:val="1042"/>
    <w:qFormat/>
    <w:pPr>
      <w:jc w:val="left"/>
    </w:pPr>
    <w:rPr>
      <w:rFonts w:ascii="Calibri" w:hAnsi="Calibri" w:eastAsia="楷体_GB2312" w:cs="Times New Roman"/>
      <w:sz w:val="26"/>
      <w:szCs w:val="20"/>
    </w:rPr>
  </w:style>
  <w:style w:type="paragraph" w:styleId="989">
    <w:name w:val="index 6"/>
    <w:basedOn w:val="973"/>
    <w:next w:val="973"/>
    <w:qFormat/>
    <w:pPr>
      <w:ind w:left="2100"/>
    </w:pPr>
    <w:rPr>
      <w:rFonts w:ascii="Calibri" w:hAnsi="Calibri" w:eastAsia="楷体_GB2312" w:cs="Times New Roman"/>
      <w:sz w:val="26"/>
      <w:szCs w:val="20"/>
    </w:rPr>
  </w:style>
  <w:style w:type="paragraph" w:styleId="990">
    <w:name w:val="Body Text"/>
    <w:basedOn w:val="973"/>
    <w:link w:val="1043"/>
    <w:qFormat/>
    <w:pPr>
      <w:spacing w:line="400" w:lineRule="exact"/>
    </w:pPr>
    <w:rPr>
      <w:rFonts w:ascii="楷体_GB2312" w:hAnsi="Calibri" w:eastAsia="楷体_GB2312" w:cs="Times New Roman"/>
      <w:sz w:val="28"/>
      <w:szCs w:val="20"/>
    </w:rPr>
  </w:style>
  <w:style w:type="paragraph" w:styleId="991">
    <w:name w:val="Body Text Indent"/>
    <w:basedOn w:val="973"/>
    <w:next w:val="973"/>
    <w:link w:val="1044"/>
    <w:uiPriority w:val="99"/>
    <w:qFormat/>
    <w:pPr>
      <w:ind w:left="570"/>
      <w:spacing w:line="520" w:lineRule="exact"/>
    </w:pPr>
    <w:rPr>
      <w:rFonts w:ascii="方正仿宋简体" w:hAnsi="创艺简仿宋" w:eastAsia="方正仿宋简体" w:cs="Times New Roman"/>
      <w:sz w:val="24"/>
      <w:szCs w:val="20"/>
    </w:rPr>
  </w:style>
  <w:style w:type="paragraph" w:styleId="992">
    <w:name w:val="Block Text"/>
    <w:basedOn w:val="973"/>
    <w:next w:val="973"/>
    <w:qFormat/>
    <w:pPr>
      <w:jc w:val="center"/>
      <w:spacing w:line="360" w:lineRule="auto"/>
    </w:pPr>
    <w:rPr>
      <w:rFonts w:hint="eastAsia" w:ascii="仿宋_GB2312" w:hAnsi="Times New Roman" w:eastAsia="仿宋_GB2312" w:cs="Times New Roman"/>
      <w:sz w:val="26"/>
      <w:szCs w:val="20"/>
    </w:rPr>
  </w:style>
  <w:style w:type="paragraph" w:styleId="993">
    <w:name w:val="index 4"/>
    <w:basedOn w:val="973"/>
    <w:next w:val="973"/>
    <w:qFormat/>
    <w:pPr>
      <w:ind w:left="1260"/>
    </w:pPr>
    <w:rPr>
      <w:rFonts w:ascii="Calibri" w:hAnsi="Calibri" w:eastAsia="楷体_GB2312" w:cs="Times New Roman"/>
      <w:sz w:val="26"/>
      <w:szCs w:val="20"/>
    </w:rPr>
  </w:style>
  <w:style w:type="paragraph" w:styleId="994">
    <w:name w:val="toc 5"/>
    <w:basedOn w:val="973"/>
    <w:next w:val="973"/>
    <w:qFormat/>
    <w:pPr>
      <w:ind w:left="1680"/>
    </w:pPr>
    <w:rPr>
      <w:rFonts w:ascii="Calibri" w:hAnsi="Calibri" w:eastAsia="楷体_GB2312" w:cs="Times New Roman"/>
      <w:sz w:val="26"/>
      <w:szCs w:val="20"/>
    </w:rPr>
  </w:style>
  <w:style w:type="paragraph" w:styleId="995">
    <w:name w:val="toc 3"/>
    <w:basedOn w:val="973"/>
    <w:next w:val="973"/>
    <w:qFormat/>
    <w:pPr>
      <w:ind w:left="840"/>
    </w:pPr>
    <w:rPr>
      <w:rFonts w:ascii="Calibri" w:hAnsi="Calibri" w:eastAsia="楷体_GB2312" w:cs="Times New Roman"/>
      <w:sz w:val="26"/>
      <w:szCs w:val="20"/>
    </w:rPr>
  </w:style>
  <w:style w:type="paragraph" w:styleId="996">
    <w:name w:val="Plain Text"/>
    <w:basedOn w:val="973"/>
    <w:link w:val="1045"/>
    <w:qFormat/>
    <w:rPr>
      <w:rFonts w:ascii="宋体" w:hAnsi="Courier New" w:eastAsia="楷体_GB2312" w:cs="Times New Roman"/>
      <w:sz w:val="26"/>
      <w:szCs w:val="20"/>
    </w:rPr>
  </w:style>
  <w:style w:type="paragraph" w:styleId="997">
    <w:name w:val="toc 8"/>
    <w:basedOn w:val="973"/>
    <w:next w:val="973"/>
    <w:qFormat/>
    <w:pPr>
      <w:ind w:left="2940"/>
    </w:pPr>
    <w:rPr>
      <w:rFonts w:ascii="Calibri" w:hAnsi="Calibri" w:eastAsia="楷体_GB2312" w:cs="Times New Roman"/>
      <w:sz w:val="26"/>
      <w:szCs w:val="20"/>
    </w:rPr>
  </w:style>
  <w:style w:type="paragraph" w:styleId="998">
    <w:name w:val="index 3"/>
    <w:basedOn w:val="973"/>
    <w:next w:val="973"/>
    <w:qFormat/>
    <w:pPr>
      <w:ind w:left="840"/>
    </w:pPr>
    <w:rPr>
      <w:rFonts w:ascii="Calibri" w:hAnsi="Calibri" w:eastAsia="楷体_GB2312" w:cs="Times New Roman"/>
      <w:sz w:val="26"/>
      <w:szCs w:val="20"/>
    </w:rPr>
  </w:style>
  <w:style w:type="paragraph" w:styleId="999">
    <w:name w:val="Date"/>
    <w:basedOn w:val="973"/>
    <w:next w:val="973"/>
    <w:link w:val="1046"/>
    <w:qFormat/>
    <w:rPr>
      <w:rFonts w:ascii="宋体" w:hAnsi="宋体" w:eastAsia="楷体_GB2312" w:cs="Times New Roman"/>
      <w:sz w:val="24"/>
      <w:szCs w:val="20"/>
    </w:rPr>
  </w:style>
  <w:style w:type="paragraph" w:styleId="1000">
    <w:name w:val="Body Text Indent 2"/>
    <w:basedOn w:val="973"/>
    <w:link w:val="1047"/>
    <w:qFormat/>
    <w:pPr>
      <w:ind w:firstLine="502"/>
      <w:spacing w:line="360" w:lineRule="auto"/>
      <w:tabs>
        <w:tab w:val="left" w:pos="0" w:leader="none"/>
      </w:tabs>
    </w:pPr>
    <w:rPr>
      <w:rFonts w:ascii="宋体" w:hAnsi="Calibri" w:eastAsia="宋体" w:cs="Times New Roman"/>
      <w:b/>
      <w:bCs/>
      <w:sz w:val="24"/>
      <w:szCs w:val="20"/>
    </w:rPr>
  </w:style>
  <w:style w:type="paragraph" w:styleId="1001">
    <w:name w:val="endnote text"/>
    <w:basedOn w:val="973"/>
    <w:link w:val="1048"/>
    <w:qFormat/>
    <w:pPr>
      <w:jc w:val="left"/>
    </w:pPr>
    <w:rPr>
      <w:rFonts w:ascii="Calibri" w:hAnsi="Calibri" w:eastAsia="楷体_GB2312" w:cs="Times New Roman"/>
      <w:sz w:val="26"/>
      <w:szCs w:val="20"/>
    </w:rPr>
  </w:style>
  <w:style w:type="paragraph" w:styleId="1002">
    <w:name w:val="Balloon Text"/>
    <w:basedOn w:val="973"/>
    <w:link w:val="1049"/>
    <w:uiPriority w:val="99"/>
    <w:qFormat/>
    <w:rPr>
      <w:rFonts w:ascii="Calibri" w:hAnsi="Calibri" w:eastAsia="楷体_GB2312" w:cs="Times New Roman"/>
      <w:sz w:val="18"/>
      <w:szCs w:val="18"/>
    </w:rPr>
  </w:style>
  <w:style w:type="paragraph" w:styleId="1003">
    <w:name w:val="Footer"/>
    <w:basedOn w:val="973"/>
    <w:link w:val="1050"/>
    <w:uiPriority w:val="99"/>
    <w:qFormat/>
    <w:pPr>
      <w:jc w:val="left"/>
      <w:tabs>
        <w:tab w:val="center" w:pos="4153" w:leader="none"/>
        <w:tab w:val="right" w:pos="8306" w:leader="none"/>
      </w:tabs>
    </w:pPr>
    <w:rPr>
      <w:rFonts w:cs="Times New Roman" w:asciiTheme="minorEastAsia" w:hAnsiTheme="minorEastAsia"/>
      <w:sz w:val="18"/>
      <w:szCs w:val="20"/>
    </w:rPr>
  </w:style>
  <w:style w:type="paragraph" w:styleId="1004">
    <w:name w:val="Header"/>
    <w:basedOn w:val="973"/>
    <w:link w:val="1051"/>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1005">
    <w:name w:val="toc 1"/>
    <w:basedOn w:val="973"/>
    <w:next w:val="973"/>
    <w:uiPriority w:val="39"/>
    <w:qFormat/>
    <w:pPr>
      <w:jc w:val="left"/>
    </w:pPr>
    <w:rPr>
      <w:rFonts w:ascii="Calibri" w:hAnsi="Calibri" w:eastAsia="楷体_GB2312" w:cs="Times New Roman"/>
      <w:sz w:val="24"/>
      <w:szCs w:val="20"/>
    </w:rPr>
  </w:style>
  <w:style w:type="paragraph" w:styleId="1006">
    <w:name w:val="toc 4"/>
    <w:basedOn w:val="973"/>
    <w:next w:val="973"/>
    <w:qFormat/>
    <w:pPr>
      <w:ind w:left="1260"/>
    </w:pPr>
    <w:rPr>
      <w:rFonts w:ascii="Calibri" w:hAnsi="Calibri" w:eastAsia="楷体_GB2312" w:cs="Times New Roman"/>
      <w:sz w:val="26"/>
      <w:szCs w:val="20"/>
    </w:rPr>
  </w:style>
  <w:style w:type="paragraph" w:styleId="1007">
    <w:name w:val="index heading"/>
    <w:basedOn w:val="973"/>
    <w:next w:val="1008"/>
    <w:qFormat/>
    <w:rPr>
      <w:rFonts w:ascii="Calibri" w:hAnsi="Calibri" w:eastAsia="楷体_GB2312" w:cs="Times New Roman"/>
      <w:sz w:val="26"/>
      <w:szCs w:val="20"/>
    </w:rPr>
  </w:style>
  <w:style w:type="paragraph" w:styleId="1008">
    <w:name w:val="index 1"/>
    <w:basedOn w:val="973"/>
    <w:next w:val="973"/>
    <w:unhideWhenUsed/>
    <w:qFormat/>
  </w:style>
  <w:style w:type="paragraph" w:styleId="1009">
    <w:name w:val="Subtitle"/>
    <w:basedOn w:val="973"/>
    <w:next w:val="973"/>
    <w:link w:val="1052"/>
    <w:qFormat/>
    <w:pPr>
      <w:jc w:val="left"/>
      <w:spacing w:before="120"/>
      <w:outlineLvl w:val="1"/>
    </w:pPr>
    <w:rPr>
      <w:rFonts w:ascii="Cambria" w:hAnsi="Cambria" w:eastAsia="宋体" w:cs="Times New Roman"/>
      <w:b/>
      <w:bCs/>
      <w:sz w:val="24"/>
      <w:szCs w:val="32"/>
    </w:rPr>
  </w:style>
  <w:style w:type="paragraph" w:styleId="1010">
    <w:name w:val="footnote text"/>
    <w:basedOn w:val="973"/>
    <w:link w:val="1053"/>
    <w:qFormat/>
    <w:pPr>
      <w:jc w:val="left"/>
    </w:pPr>
    <w:rPr>
      <w:rFonts w:ascii="Calibri" w:hAnsi="Calibri" w:eastAsia="楷体_GB2312" w:cs="Times New Roman"/>
      <w:sz w:val="18"/>
      <w:szCs w:val="20"/>
    </w:rPr>
  </w:style>
  <w:style w:type="paragraph" w:styleId="1011">
    <w:name w:val="toc 6"/>
    <w:basedOn w:val="973"/>
    <w:next w:val="973"/>
    <w:qFormat/>
    <w:pPr>
      <w:ind w:left="2100"/>
    </w:pPr>
    <w:rPr>
      <w:rFonts w:ascii="Calibri" w:hAnsi="Calibri" w:eastAsia="楷体_GB2312" w:cs="Times New Roman"/>
      <w:sz w:val="26"/>
      <w:szCs w:val="20"/>
    </w:rPr>
  </w:style>
  <w:style w:type="paragraph" w:styleId="1012">
    <w:name w:val="Body Text Indent 3"/>
    <w:basedOn w:val="973"/>
    <w:link w:val="1054"/>
    <w:qFormat/>
    <w:pPr>
      <w:ind w:firstLine="617"/>
      <w:spacing w:line="360" w:lineRule="auto"/>
    </w:pPr>
    <w:rPr>
      <w:rFonts w:ascii="Calibri" w:hAnsi="Calibri" w:eastAsia="宋体" w:cs="Times New Roman"/>
      <w:sz w:val="24"/>
      <w:szCs w:val="24"/>
    </w:rPr>
  </w:style>
  <w:style w:type="paragraph" w:styleId="1013">
    <w:name w:val="index 7"/>
    <w:basedOn w:val="973"/>
    <w:next w:val="973"/>
    <w:qFormat/>
    <w:pPr>
      <w:ind w:left="2520"/>
    </w:pPr>
    <w:rPr>
      <w:rFonts w:ascii="Calibri" w:hAnsi="Calibri" w:eastAsia="楷体_GB2312" w:cs="Times New Roman"/>
      <w:sz w:val="26"/>
      <w:szCs w:val="20"/>
    </w:rPr>
  </w:style>
  <w:style w:type="paragraph" w:styleId="1014">
    <w:name w:val="index 9"/>
    <w:basedOn w:val="973"/>
    <w:next w:val="973"/>
    <w:qFormat/>
    <w:pPr>
      <w:ind w:left="3360"/>
    </w:pPr>
    <w:rPr>
      <w:rFonts w:ascii="Calibri" w:hAnsi="Calibri" w:eastAsia="楷体_GB2312" w:cs="Times New Roman"/>
      <w:sz w:val="26"/>
      <w:szCs w:val="20"/>
    </w:rPr>
  </w:style>
  <w:style w:type="paragraph" w:styleId="1015">
    <w:name w:val="table of figures"/>
    <w:basedOn w:val="973"/>
    <w:next w:val="973"/>
    <w:qFormat/>
    <w:pPr>
      <w:ind w:left="420" w:hanging="420"/>
      <w:jc w:val="left"/>
    </w:pPr>
    <w:rPr>
      <w:rFonts w:ascii="Calibri" w:hAnsi="Calibri" w:eastAsia="楷体_GB2312" w:cs="Times New Roman"/>
      <w:smallCaps/>
      <w:sz w:val="24"/>
      <w:szCs w:val="20"/>
    </w:rPr>
  </w:style>
  <w:style w:type="paragraph" w:styleId="1016">
    <w:name w:val="toc 2"/>
    <w:basedOn w:val="973"/>
    <w:next w:val="973"/>
    <w:qFormat/>
    <w:pPr>
      <w:ind w:left="420"/>
    </w:pPr>
    <w:rPr>
      <w:rFonts w:ascii="Calibri" w:hAnsi="Calibri" w:eastAsia="楷体_GB2312" w:cs="Times New Roman"/>
      <w:sz w:val="26"/>
      <w:szCs w:val="20"/>
    </w:rPr>
  </w:style>
  <w:style w:type="paragraph" w:styleId="1017">
    <w:name w:val="toc 9"/>
    <w:basedOn w:val="973"/>
    <w:next w:val="973"/>
    <w:qFormat/>
    <w:pPr>
      <w:ind w:left="3360"/>
    </w:pPr>
    <w:rPr>
      <w:rFonts w:ascii="Calibri" w:hAnsi="Calibri" w:eastAsia="楷体_GB2312" w:cs="Times New Roman"/>
      <w:sz w:val="26"/>
      <w:szCs w:val="20"/>
    </w:rPr>
  </w:style>
  <w:style w:type="paragraph" w:styleId="1018">
    <w:name w:val="HTML Preformatted"/>
    <w:basedOn w:val="973"/>
    <w:link w:val="10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19">
    <w:name w:val="Normal (Web)"/>
    <w:basedOn w:val="973"/>
    <w:qFormat/>
    <w:pPr>
      <w:jc w:val="left"/>
      <w:spacing w:before="100" w:beforeAutospacing="1" w:after="100" w:afterAutospacing="1"/>
    </w:pPr>
    <w:rPr>
      <w:rFonts w:ascii="Calibri" w:hAnsi="Calibri" w:eastAsia="楷体_GB2312" w:cs="Times New Roman"/>
      <w:sz w:val="24"/>
    </w:rPr>
  </w:style>
  <w:style w:type="paragraph" w:styleId="1020">
    <w:name w:val="index 2"/>
    <w:basedOn w:val="973"/>
    <w:next w:val="973"/>
    <w:qFormat/>
    <w:pPr>
      <w:ind w:left="420"/>
    </w:pPr>
    <w:rPr>
      <w:rFonts w:ascii="Calibri" w:hAnsi="Calibri" w:eastAsia="楷体_GB2312" w:cs="Times New Roman"/>
      <w:sz w:val="26"/>
      <w:szCs w:val="20"/>
    </w:rPr>
  </w:style>
  <w:style w:type="paragraph" w:styleId="1021">
    <w:name w:val="Title"/>
    <w:basedOn w:val="973"/>
    <w:next w:val="973"/>
    <w:link w:val="1056"/>
    <w:qFormat/>
    <w:pPr>
      <w:jc w:val="center"/>
      <w:spacing w:before="240" w:after="60"/>
      <w:outlineLvl w:val="0"/>
    </w:pPr>
    <w:rPr>
      <w:rFonts w:ascii="Cambria" w:hAnsi="Cambria" w:eastAsia="宋体" w:cs="Times New Roman"/>
      <w:b/>
      <w:bCs/>
      <w:sz w:val="32"/>
      <w:szCs w:val="32"/>
    </w:rPr>
  </w:style>
  <w:style w:type="paragraph" w:styleId="1022">
    <w:name w:val="annotation subject"/>
    <w:basedOn w:val="988"/>
    <w:next w:val="988"/>
    <w:link w:val="1057"/>
    <w:uiPriority w:val="99"/>
    <w:qFormat/>
    <w:rPr>
      <w:b/>
      <w:bCs/>
    </w:rPr>
  </w:style>
  <w:style w:type="paragraph" w:styleId="1023">
    <w:name w:val="Body Text First Indent 2"/>
    <w:basedOn w:val="991"/>
    <w:link w:val="1058"/>
    <w:qFormat/>
    <w:pPr>
      <w:ind w:left="420" w:firstLine="420"/>
      <w:spacing w:after="120" w:line="240" w:lineRule="auto"/>
    </w:pPr>
    <w:rPr>
      <w:rFonts w:ascii="Calibri" w:hAnsi="Calibri" w:eastAsia="楷体_GB2312"/>
      <w:sz w:val="26"/>
    </w:rPr>
  </w:style>
  <w:style w:type="table" w:styleId="1024">
    <w:name w:val="Table Grid"/>
    <w:basedOn w:val="98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name w:val="Strong"/>
    <w:basedOn w:val="980"/>
    <w:qFormat/>
    <w:rPr>
      <w:b/>
    </w:rPr>
  </w:style>
  <w:style w:type="character" w:styleId="1026">
    <w:name w:val="endnote reference"/>
    <w:qFormat/>
    <w:rPr>
      <w:vertAlign w:val="superscript"/>
    </w:rPr>
  </w:style>
  <w:style w:type="character" w:styleId="1027">
    <w:name w:val="page number"/>
    <w:basedOn w:val="980"/>
    <w:qFormat/>
  </w:style>
  <w:style w:type="character" w:styleId="1028">
    <w:name w:val="FollowedHyperlink"/>
    <w:uiPriority w:val="99"/>
    <w:unhideWhenUsed/>
    <w:qFormat/>
    <w:rPr>
      <w:color w:val="800080"/>
      <w:u w:val="single"/>
    </w:rPr>
  </w:style>
  <w:style w:type="character" w:styleId="1029">
    <w:name w:val="Hyperlink"/>
    <w:unhideWhenUsed/>
    <w:qFormat/>
    <w:rPr>
      <w:color w:val="0000ff"/>
      <w:u w:val="single"/>
    </w:rPr>
  </w:style>
  <w:style w:type="character" w:styleId="1030">
    <w:name w:val="annotation reference"/>
    <w:uiPriority w:val="99"/>
    <w:qFormat/>
    <w:rPr>
      <w:sz w:val="21"/>
      <w:szCs w:val="21"/>
    </w:rPr>
  </w:style>
  <w:style w:type="character" w:styleId="1031">
    <w:name w:val="footnote reference"/>
    <w:qFormat/>
    <w:rPr>
      <w:vertAlign w:val="superscript"/>
    </w:rPr>
  </w:style>
  <w:style w:type="paragraph" w:styleId="1032" w:customStyle="1">
    <w:name w:val="段"/>
    <w:next w:val="973"/>
    <w:qFormat/>
    <w:pPr>
      <w:ind w:firstLine="200"/>
      <w:jc w:val="both"/>
    </w:pPr>
    <w:rPr>
      <w:rFonts w:ascii="宋体" w:cs="宋体"/>
      <w:sz w:val="21"/>
      <w:szCs w:val="21"/>
    </w:rPr>
  </w:style>
  <w:style w:type="paragraph" w:styleId="1033" w:customStyle="1">
    <w:name w:val="首行缩进"/>
    <w:basedOn w:val="973"/>
    <w:qFormat/>
    <w:pPr>
      <w:ind w:firstLine="480"/>
    </w:pPr>
    <w:rPr>
      <w:rFonts w:ascii="Calibri" w:hAnsi="Calibri" w:eastAsia="宋体" w:cs="Times New Roman"/>
      <w:szCs w:val="20"/>
      <w:lang w:val="zh-CN"/>
    </w:rPr>
  </w:style>
  <w:style w:type="character" w:styleId="1034" w:customStyle="1">
    <w:name w:val="标题 1 字符"/>
    <w:basedOn w:val="980"/>
    <w:link w:val="974"/>
    <w:qFormat/>
    <w:rPr>
      <w:rFonts w:ascii="Calibri" w:hAnsi="Calibri" w:eastAsia="楷体_GB2312" w:cs="Times New Roman"/>
      <w:b/>
      <w:sz w:val="44"/>
      <w:szCs w:val="20"/>
    </w:rPr>
  </w:style>
  <w:style w:type="character" w:styleId="1035" w:customStyle="1">
    <w:name w:val="标题 2 字符"/>
    <w:basedOn w:val="980"/>
    <w:link w:val="975"/>
    <w:qFormat/>
    <w:rPr>
      <w:rFonts w:ascii="宋体" w:hAnsi="宋体" w:eastAsia="楷体_GB2312" w:cs="Times New Roman"/>
      <w:b/>
      <w:sz w:val="26"/>
      <w:szCs w:val="20"/>
    </w:rPr>
  </w:style>
  <w:style w:type="character" w:styleId="1036" w:customStyle="1">
    <w:name w:val="标题 3 字符"/>
    <w:basedOn w:val="980"/>
    <w:link w:val="976"/>
    <w:qFormat/>
    <w:rPr>
      <w:rFonts w:ascii="Calibri" w:hAnsi="Calibri" w:eastAsia="楷体_GB2312" w:cs="Times New Roman"/>
      <w:b/>
      <w:sz w:val="26"/>
      <w:szCs w:val="20"/>
    </w:rPr>
  </w:style>
  <w:style w:type="character" w:styleId="1037" w:customStyle="1">
    <w:name w:val="标题 4 字符"/>
    <w:basedOn w:val="980"/>
    <w:link w:val="977"/>
    <w:qFormat/>
    <w:rPr>
      <w:rFonts w:ascii="Arial" w:hAnsi="Arial" w:eastAsia="黑体" w:cs="Times New Roman"/>
      <w:b/>
      <w:bCs/>
      <w:sz w:val="28"/>
      <w:szCs w:val="28"/>
    </w:rPr>
  </w:style>
  <w:style w:type="character" w:styleId="1038" w:customStyle="1">
    <w:name w:val="标题 5 字符"/>
    <w:basedOn w:val="980"/>
    <w:link w:val="978"/>
    <w:qFormat/>
    <w:rPr>
      <w:rFonts w:ascii="宋体" w:hAnsi="宋体" w:eastAsia="宋体" w:cs="Times New Roman"/>
      <w:color w:val="000000"/>
      <w:sz w:val="28"/>
      <w:szCs w:val="20"/>
    </w:rPr>
  </w:style>
  <w:style w:type="character" w:styleId="1039" w:customStyle="1">
    <w:name w:val="标题 6 字符"/>
    <w:basedOn w:val="980"/>
    <w:link w:val="979"/>
    <w:qFormat/>
    <w:rPr>
      <w:rFonts w:ascii="宋体" w:hAnsi="宋体" w:eastAsia="宋体" w:cs="Times New Roman"/>
      <w:sz w:val="28"/>
      <w:szCs w:val="20"/>
    </w:rPr>
  </w:style>
  <w:style w:type="character" w:styleId="1040" w:customStyle="1">
    <w:name w:val="正文缩进 字符"/>
    <w:link w:val="985"/>
    <w:qFormat/>
    <w:rPr>
      <w:rFonts w:ascii="Calibri" w:hAnsi="Calibri" w:eastAsia="楷体_GB2312" w:cs="Times New Roman"/>
      <w:sz w:val="24"/>
      <w:szCs w:val="20"/>
    </w:rPr>
  </w:style>
  <w:style w:type="character" w:styleId="1041" w:customStyle="1">
    <w:name w:val="文档结构图 字符"/>
    <w:basedOn w:val="980"/>
    <w:link w:val="987"/>
    <w:qFormat/>
    <w:rPr>
      <w:rFonts w:ascii="Calibri" w:hAnsi="Calibri" w:eastAsia="楷体_GB2312" w:cs="Times New Roman"/>
      <w:sz w:val="26"/>
      <w:szCs w:val="20"/>
      <w:shd w:val="clear" w:color="auto" w:fill="000080"/>
    </w:rPr>
  </w:style>
  <w:style w:type="character" w:styleId="1042" w:customStyle="1">
    <w:name w:val="批注文字 字符"/>
    <w:basedOn w:val="980"/>
    <w:link w:val="988"/>
    <w:qFormat/>
    <w:rPr>
      <w:rFonts w:ascii="Calibri" w:hAnsi="Calibri" w:eastAsia="楷体_GB2312" w:cs="Times New Roman"/>
      <w:sz w:val="26"/>
      <w:szCs w:val="20"/>
    </w:rPr>
  </w:style>
  <w:style w:type="character" w:styleId="1043" w:customStyle="1">
    <w:name w:val="正文文本 字符"/>
    <w:basedOn w:val="980"/>
    <w:link w:val="990"/>
    <w:qFormat/>
    <w:rPr>
      <w:rFonts w:ascii="楷体_GB2312" w:hAnsi="Calibri" w:eastAsia="楷体_GB2312" w:cs="Times New Roman"/>
      <w:sz w:val="28"/>
      <w:szCs w:val="20"/>
    </w:rPr>
  </w:style>
  <w:style w:type="character" w:styleId="1044" w:customStyle="1">
    <w:name w:val="正文文本缩进 字符"/>
    <w:basedOn w:val="980"/>
    <w:link w:val="991"/>
    <w:uiPriority w:val="99"/>
    <w:qFormat/>
    <w:rPr>
      <w:rFonts w:ascii="方正仿宋简体" w:hAnsi="创艺简仿宋" w:eastAsia="方正仿宋简体" w:cs="Times New Roman"/>
      <w:sz w:val="24"/>
      <w:szCs w:val="20"/>
    </w:rPr>
  </w:style>
  <w:style w:type="character" w:styleId="1045" w:customStyle="1">
    <w:name w:val="纯文本 字符"/>
    <w:basedOn w:val="980"/>
    <w:link w:val="996"/>
    <w:qFormat/>
    <w:rPr>
      <w:rFonts w:ascii="宋体" w:hAnsi="Courier New" w:eastAsia="楷体_GB2312" w:cs="Times New Roman"/>
      <w:sz w:val="26"/>
      <w:szCs w:val="20"/>
    </w:rPr>
  </w:style>
  <w:style w:type="character" w:styleId="1046" w:customStyle="1">
    <w:name w:val="日期 字符"/>
    <w:basedOn w:val="980"/>
    <w:link w:val="999"/>
    <w:qFormat/>
    <w:rPr>
      <w:rFonts w:ascii="宋体" w:hAnsi="宋体" w:eastAsia="楷体_GB2312" w:cs="Times New Roman"/>
      <w:sz w:val="24"/>
      <w:szCs w:val="20"/>
    </w:rPr>
  </w:style>
  <w:style w:type="character" w:styleId="1047" w:customStyle="1">
    <w:name w:val="正文文本缩进 2 字符"/>
    <w:basedOn w:val="980"/>
    <w:link w:val="1000"/>
    <w:qFormat/>
    <w:rPr>
      <w:rFonts w:ascii="宋体" w:hAnsi="Calibri" w:eastAsia="宋体" w:cs="Times New Roman"/>
      <w:b/>
      <w:bCs/>
      <w:sz w:val="24"/>
      <w:szCs w:val="20"/>
    </w:rPr>
  </w:style>
  <w:style w:type="character" w:styleId="1048" w:customStyle="1">
    <w:name w:val="尾注文本 字符"/>
    <w:basedOn w:val="980"/>
    <w:link w:val="1001"/>
    <w:qFormat/>
    <w:rPr>
      <w:rFonts w:ascii="Calibri" w:hAnsi="Calibri" w:eastAsia="楷体_GB2312" w:cs="Times New Roman"/>
      <w:sz w:val="26"/>
      <w:szCs w:val="20"/>
    </w:rPr>
  </w:style>
  <w:style w:type="character" w:styleId="1049" w:customStyle="1">
    <w:name w:val="批注框文本 字符"/>
    <w:basedOn w:val="980"/>
    <w:link w:val="1002"/>
    <w:uiPriority w:val="99"/>
    <w:qFormat/>
    <w:rPr>
      <w:rFonts w:ascii="Calibri" w:hAnsi="Calibri" w:eastAsia="楷体_GB2312" w:cs="Times New Roman"/>
      <w:sz w:val="18"/>
      <w:szCs w:val="18"/>
    </w:rPr>
  </w:style>
  <w:style w:type="character" w:styleId="1050" w:customStyle="1">
    <w:name w:val="页脚 字符"/>
    <w:basedOn w:val="980"/>
    <w:link w:val="1003"/>
    <w:uiPriority w:val="99"/>
    <w:qFormat/>
    <w:rPr>
      <w:rFonts w:asciiTheme="minorEastAsia" w:hAnsiTheme="minorEastAsia" w:eastAsiaTheme="minorEastAsia"/>
      <w:sz w:val="18"/>
    </w:rPr>
  </w:style>
  <w:style w:type="character" w:styleId="1051" w:customStyle="1">
    <w:name w:val="页眉 字符"/>
    <w:basedOn w:val="980"/>
    <w:link w:val="1004"/>
    <w:uiPriority w:val="99"/>
    <w:qFormat/>
    <w:rPr>
      <w:rFonts w:ascii="Calibri" w:hAnsi="Calibri" w:eastAsia="楷体_GB2312" w:cs="Times New Roman"/>
      <w:sz w:val="18"/>
      <w:szCs w:val="20"/>
    </w:rPr>
  </w:style>
  <w:style w:type="character" w:styleId="1052" w:customStyle="1">
    <w:name w:val="副标题 字符"/>
    <w:basedOn w:val="980"/>
    <w:link w:val="1009"/>
    <w:qFormat/>
    <w:rPr>
      <w:rFonts w:ascii="Cambria" w:hAnsi="Cambria" w:eastAsia="宋体" w:cs="Times New Roman"/>
      <w:b/>
      <w:bCs/>
      <w:sz w:val="24"/>
      <w:szCs w:val="32"/>
    </w:rPr>
  </w:style>
  <w:style w:type="character" w:styleId="1053" w:customStyle="1">
    <w:name w:val="脚注文本 字符"/>
    <w:basedOn w:val="980"/>
    <w:link w:val="1010"/>
    <w:qFormat/>
    <w:rPr>
      <w:rFonts w:ascii="Calibri" w:hAnsi="Calibri" w:eastAsia="楷体_GB2312" w:cs="Times New Roman"/>
      <w:sz w:val="18"/>
      <w:szCs w:val="20"/>
    </w:rPr>
  </w:style>
  <w:style w:type="character" w:styleId="1054" w:customStyle="1">
    <w:name w:val="正文文本缩进 3 字符"/>
    <w:basedOn w:val="980"/>
    <w:link w:val="1012"/>
    <w:qFormat/>
    <w:rPr>
      <w:rFonts w:ascii="Calibri" w:hAnsi="Calibri" w:eastAsia="宋体" w:cs="Times New Roman"/>
      <w:sz w:val="24"/>
      <w:szCs w:val="24"/>
    </w:rPr>
  </w:style>
  <w:style w:type="character" w:styleId="1055" w:customStyle="1">
    <w:name w:val="HTML 预设格式 字符"/>
    <w:basedOn w:val="980"/>
    <w:link w:val="1018"/>
    <w:qFormat/>
    <w:rPr>
      <w:rFonts w:ascii="黑体" w:hAnsi="Courier New" w:eastAsia="黑体" w:cs="Times New Roman"/>
      <w:sz w:val="20"/>
      <w:szCs w:val="20"/>
    </w:rPr>
  </w:style>
  <w:style w:type="character" w:styleId="1056" w:customStyle="1">
    <w:name w:val="标题 字符"/>
    <w:basedOn w:val="980"/>
    <w:link w:val="1021"/>
    <w:qFormat/>
    <w:rPr>
      <w:rFonts w:ascii="Cambria" w:hAnsi="Cambria" w:eastAsia="宋体" w:cs="Times New Roman"/>
      <w:b/>
      <w:bCs/>
      <w:sz w:val="32"/>
      <w:szCs w:val="32"/>
    </w:rPr>
  </w:style>
  <w:style w:type="character" w:styleId="1057" w:customStyle="1">
    <w:name w:val="批注主题 字符"/>
    <w:basedOn w:val="1042"/>
    <w:link w:val="1022"/>
    <w:uiPriority w:val="99"/>
    <w:qFormat/>
    <w:rPr>
      <w:rFonts w:ascii="Calibri" w:hAnsi="Calibri" w:eastAsia="楷体_GB2312" w:cs="Times New Roman"/>
      <w:b/>
      <w:bCs/>
      <w:sz w:val="26"/>
      <w:szCs w:val="20"/>
    </w:rPr>
  </w:style>
  <w:style w:type="character" w:styleId="1058" w:customStyle="1">
    <w:name w:val="正文文本首行缩进 2 字符"/>
    <w:basedOn w:val="1044"/>
    <w:link w:val="1023"/>
    <w:qFormat/>
    <w:rPr>
      <w:rFonts w:ascii="Calibri" w:hAnsi="Calibri" w:eastAsia="楷体_GB2312" w:cs="Times New Roman"/>
      <w:sz w:val="26"/>
      <w:szCs w:val="20"/>
    </w:rPr>
  </w:style>
  <w:style w:type="character" w:styleId="1059" w:customStyle="1">
    <w:name w:val="Plain Text Char Char"/>
    <w:link w:val="1060"/>
    <w:qFormat/>
    <w:rPr>
      <w:rFonts w:ascii="宋体" w:hAnsi="Courier New" w:eastAsia="楷体_GB2312"/>
      <w:sz w:val="26"/>
    </w:rPr>
  </w:style>
  <w:style w:type="paragraph" w:styleId="1060" w:customStyle="1">
    <w:name w:val="纯文本3"/>
    <w:basedOn w:val="973"/>
    <w:link w:val="1059"/>
    <w:qFormat/>
    <w:rPr>
      <w:rFonts w:ascii="宋体" w:hAnsi="Courier New" w:eastAsia="楷体_GB2312"/>
      <w:sz w:val="26"/>
    </w:rPr>
  </w:style>
  <w:style w:type="character" w:styleId="1061" w:customStyle="1">
    <w:name w:val="styl81"/>
    <w:qFormat/>
    <w:rPr>
      <w:sz w:val="21"/>
    </w:rPr>
  </w:style>
  <w:style w:type="character" w:styleId="1062" w:customStyle="1">
    <w:name w:val="Plain Text Char"/>
    <w:link w:val="1063"/>
    <w:qFormat/>
    <w:rPr>
      <w:rFonts w:ascii="宋体" w:hAnsi="Courier New" w:eastAsia="楷体_GB2312"/>
      <w:sz w:val="26"/>
    </w:rPr>
  </w:style>
  <w:style w:type="paragraph" w:styleId="1063" w:customStyle="1">
    <w:name w:val="纯文本1"/>
    <w:basedOn w:val="973"/>
    <w:link w:val="1062"/>
    <w:qFormat/>
    <w:rPr>
      <w:rFonts w:ascii="宋体" w:hAnsi="Courier New" w:eastAsia="楷体_GB2312"/>
      <w:sz w:val="26"/>
    </w:rPr>
  </w:style>
  <w:style w:type="character" w:styleId="1064" w:customStyle="1">
    <w:name w:val="表正文 Char1"/>
    <w:qFormat/>
    <w:rPr>
      <w:rFonts w:eastAsia="楷体_GB2312"/>
      <w:sz w:val="24"/>
      <w:lang w:val="en-US" w:eastAsia="zh-CN" w:bidi="ar-SA"/>
    </w:rPr>
  </w:style>
  <w:style w:type="character" w:styleId="1065" w:customStyle="1">
    <w:name w:val="_正文段落 Char"/>
    <w:link w:val="1066"/>
    <w:qFormat/>
    <w:rPr>
      <w:rFonts w:ascii="宋体" w:hAnsi="宋体"/>
      <w:sz w:val="24"/>
      <w:szCs w:val="24"/>
    </w:rPr>
  </w:style>
  <w:style w:type="paragraph" w:styleId="1066" w:customStyle="1">
    <w:name w:val="_正文段落"/>
    <w:basedOn w:val="973"/>
    <w:link w:val="1065"/>
    <w:qFormat/>
    <w:pPr>
      <w:ind w:firstLine="480"/>
      <w:spacing w:line="360" w:lineRule="auto"/>
    </w:pPr>
    <w:rPr>
      <w:rFonts w:ascii="宋体" w:hAnsi="宋体"/>
      <w:sz w:val="24"/>
      <w:szCs w:val="24"/>
    </w:rPr>
  </w:style>
  <w:style w:type="character" w:styleId="1067" w:customStyle="1">
    <w:name w:val="Andy_正文 Char"/>
    <w:link w:val="1068"/>
    <w:qFormat/>
    <w:rPr>
      <w:sz w:val="24"/>
      <w:szCs w:val="24"/>
    </w:rPr>
  </w:style>
  <w:style w:type="paragraph" w:styleId="1068" w:customStyle="1">
    <w:name w:val="Andy_正文"/>
    <w:basedOn w:val="973"/>
    <w:link w:val="1067"/>
    <w:qFormat/>
    <w:pPr>
      <w:ind w:firstLine="480"/>
      <w:spacing w:line="360" w:lineRule="auto"/>
    </w:pPr>
    <w:rPr>
      <w:sz w:val="24"/>
      <w:szCs w:val="24"/>
    </w:rPr>
  </w:style>
  <w:style w:type="character" w:styleId="1069" w:customStyle="1">
    <w:name w:val="正文缩进 Char1"/>
    <w:qFormat/>
    <w:rPr>
      <w:rFonts w:eastAsia="楷体_GB2312"/>
      <w:sz w:val="24"/>
    </w:rPr>
  </w:style>
  <w:style w:type="character" w:styleId="1070" w:customStyle="1">
    <w:name w:val="副标题 Char1"/>
    <w:uiPriority w:val="11"/>
    <w:qFormat/>
    <w:rPr>
      <w:rFonts w:ascii="Cambria" w:hAnsi="Cambria" w:cs="Times New Roman"/>
      <w:b/>
      <w:bCs/>
      <w:sz w:val="32"/>
      <w:szCs w:val="32"/>
    </w:rPr>
  </w:style>
  <w:style w:type="character" w:styleId="1071" w:customStyle="1">
    <w:name w:val="Andy_2级 Char"/>
    <w:link w:val="1072"/>
    <w:qFormat/>
    <w:rPr>
      <w:sz w:val="24"/>
    </w:rPr>
  </w:style>
  <w:style w:type="paragraph" w:styleId="1072" w:customStyle="1">
    <w:name w:val="Andy_2级"/>
    <w:basedOn w:val="973"/>
    <w:link w:val="1071"/>
    <w:qFormat/>
    <w:pPr>
      <w:numPr>
        <w:ilvl w:val="1"/>
        <w:numId w:val="1"/>
      </w:numPr>
      <w:spacing w:line="360" w:lineRule="auto"/>
    </w:pPr>
    <w:rPr>
      <w:sz w:val="24"/>
    </w:rPr>
  </w:style>
  <w:style w:type="character" w:styleId="1073" w:customStyle="1">
    <w:name w:val="副标题 Char2"/>
    <w:qFormat/>
    <w:rPr>
      <w:rFonts w:ascii="Cambria" w:hAnsi="Cambria" w:cs="Times New Roman"/>
      <w:b/>
      <w:bCs/>
      <w:sz w:val="32"/>
      <w:szCs w:val="32"/>
    </w:rPr>
  </w:style>
  <w:style w:type="character" w:styleId="1074" w:customStyle="1">
    <w:name w:val="正文首行缩进 2 Char1"/>
    <w:qFormat/>
    <w:rPr>
      <w:rFonts w:ascii="方正仿宋简体" w:hAnsi="创艺简仿宋" w:eastAsia="楷体_GB2312"/>
      <w:sz w:val="26"/>
    </w:rPr>
  </w:style>
  <w:style w:type="character" w:styleId="1075" w:customStyle="1">
    <w:name w:val="ca-221"/>
    <w:qFormat/>
    <w:rPr>
      <w:rFonts w:hint="eastAsia" w:ascii="宋体" w:hAnsi="宋体" w:eastAsia="宋体"/>
      <w:color w:val="ff0000"/>
      <w:sz w:val="24"/>
      <w:szCs w:val="24"/>
    </w:rPr>
  </w:style>
  <w:style w:type="paragraph" w:styleId="1076" w:customStyle="1">
    <w:name w:val="纯文本11"/>
    <w:basedOn w:val="973"/>
    <w:qFormat/>
    <w:rPr>
      <w:rFonts w:ascii="宋体" w:hAnsi="Courier New" w:eastAsia="楷体_GB2312" w:cs="Times New Roman"/>
      <w:sz w:val="26"/>
      <w:szCs w:val="20"/>
    </w:rPr>
  </w:style>
  <w:style w:type="paragraph" w:styleId="1077" w:customStyle="1">
    <w:name w:val="xl70"/>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78" w:customStyle="1">
    <w:name w:val="xl69"/>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79" w:customStyle="1">
    <w:name w:val="xl79"/>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0" w:customStyle="1">
    <w:name w:val="xl86"/>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81" w:customStyle="1">
    <w:name w:val="纯文本2"/>
    <w:basedOn w:val="973"/>
    <w:qFormat/>
    <w:rPr>
      <w:rFonts w:ascii="宋体" w:hAnsi="Courier New" w:eastAsia="楷体_GB2312" w:cs="Times New Roman"/>
      <w:sz w:val="26"/>
      <w:szCs w:val="20"/>
    </w:rPr>
  </w:style>
  <w:style w:type="paragraph" w:styleId="1082" w:customStyle="1">
    <w:name w:val="列出段落2"/>
    <w:basedOn w:val="973"/>
    <w:qFormat/>
    <w:pPr>
      <w:ind w:firstLine="420"/>
    </w:pPr>
    <w:rPr>
      <w:rFonts w:ascii="Calibri" w:hAnsi="Calibri" w:eastAsia="宋体" w:cs="Times New Roman"/>
    </w:rPr>
  </w:style>
  <w:style w:type="paragraph" w:styleId="1083" w:customStyle="1">
    <w:name w:val="xl78"/>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4" w:customStyle="1">
    <w:name w:val="xl96"/>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5" w:customStyle="1">
    <w:name w:val="Char Char Char Char"/>
    <w:basedOn w:val="987"/>
    <w:qFormat/>
    <w:pPr>
      <w:ind w:left="357"/>
      <w:jc w:val="left"/>
      <w:spacing w:line="436" w:lineRule="exact"/>
      <w:outlineLvl w:val="3"/>
    </w:pPr>
    <w:rPr>
      <w:rFonts w:ascii="Tahoma" w:hAnsi="Tahoma" w:eastAsia="宋体"/>
      <w:b/>
      <w:sz w:val="24"/>
      <w:szCs w:val="24"/>
    </w:rPr>
  </w:style>
  <w:style w:type="paragraph" w:styleId="1086" w:customStyle="1">
    <w:name w:val="列出段落1"/>
    <w:basedOn w:val="973"/>
    <w:qFormat/>
    <w:pPr>
      <w:ind w:firstLine="420"/>
    </w:pPr>
    <w:rPr>
      <w:rFonts w:ascii="Calibri" w:hAnsi="Calibri" w:eastAsia="楷体_GB2312" w:cs="Times New Roman"/>
      <w:sz w:val="26"/>
      <w:szCs w:val="20"/>
    </w:rPr>
  </w:style>
  <w:style w:type="paragraph" w:styleId="1087" w:customStyle="1">
    <w:name w:val="xl74"/>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8" w:customStyle="1">
    <w:name w:val="纯文本4"/>
    <w:basedOn w:val="973"/>
    <w:qFormat/>
    <w:rPr>
      <w:rFonts w:ascii="宋体" w:hAnsi="Courier New" w:eastAsia="楷体_GB2312" w:cs="Times New Roman"/>
      <w:sz w:val="26"/>
      <w:szCs w:val="20"/>
    </w:rPr>
  </w:style>
  <w:style w:type="paragraph" w:styleId="1089" w:customStyle="1">
    <w:name w:val="xl92"/>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0" w:customStyle="1">
    <w:name w:val="xl66"/>
    <w:basedOn w:val="973"/>
    <w:qFormat/>
    <w:pPr>
      <w:jc w:val="center"/>
      <w:spacing w:before="100" w:beforeAutospacing="1" w:after="100" w:afterAutospacing="1"/>
      <w:widowControl/>
    </w:pPr>
    <w:rPr>
      <w:rFonts w:ascii="仿宋_GB2312" w:hAnsi="宋体" w:eastAsia="仿宋_GB2312" w:cs="宋体"/>
      <w:sz w:val="32"/>
      <w:szCs w:val="32"/>
    </w:rPr>
  </w:style>
  <w:style w:type="paragraph" w:styleId="1091" w:customStyle="1">
    <w:name w:val="xl94"/>
    <w:basedOn w:val="973"/>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92" w:customStyle="1">
    <w:name w:val="Char Char3"/>
    <w:basedOn w:val="973"/>
    <w:qFormat/>
    <w:pPr>
      <w:jc w:val="left"/>
      <w:spacing w:after="160" w:line="240" w:lineRule="exact"/>
      <w:widowControl/>
    </w:pPr>
    <w:rPr>
      <w:rFonts w:ascii="Calibri" w:hAnsi="Calibri" w:eastAsia="宋体" w:cs="Times New Roman"/>
      <w:sz w:val="24"/>
      <w:szCs w:val="24"/>
    </w:rPr>
  </w:style>
  <w:style w:type="paragraph" w:styleId="1093" w:customStyle="1">
    <w:name w:val="xl95"/>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94" w:customStyle="1">
    <w:name w:val="xl85"/>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5" w:customStyle="1">
    <w:name w:val="q3"/>
    <w:basedOn w:val="973"/>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96" w:customStyle="1">
    <w:name w:val="xl91"/>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7" w:customStyle="1">
    <w:name w:val="Char Char Char"/>
    <w:basedOn w:val="973"/>
    <w:qFormat/>
    <w:pPr>
      <w:numPr>
        <w:numId w:val="2"/>
      </w:numPr>
    </w:pPr>
    <w:rPr>
      <w:rFonts w:ascii="Calibri" w:hAnsi="Calibri" w:eastAsia="宋体" w:cs="Times New Roman"/>
      <w:sz w:val="24"/>
      <w:szCs w:val="24"/>
    </w:rPr>
  </w:style>
  <w:style w:type="paragraph" w:styleId="1098" w:customStyle="1">
    <w:name w:val="xl80"/>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9" w:customStyle="1">
    <w:name w:val="修订1"/>
    <w:uiPriority w:val="99"/>
    <w:unhideWhenUsed/>
    <w:qFormat/>
    <w:rPr>
      <w:rFonts w:ascii="Calibri" w:hAnsi="Calibri" w:eastAsia="楷体_GB2312"/>
      <w:sz w:val="26"/>
    </w:rPr>
  </w:style>
  <w:style w:type="paragraph" w:styleId="1100" w:customStyle="1">
    <w:name w:val="xl72"/>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01" w:customStyle="1">
    <w:name w:val="正文 New New New New"/>
    <w:qFormat/>
    <w:pPr>
      <w:jc w:val="both"/>
      <w:widowControl w:val="off"/>
    </w:pPr>
    <w:rPr>
      <w:rFonts w:ascii="Calibri" w:hAnsi="Calibri"/>
      <w:szCs w:val="24"/>
    </w:rPr>
  </w:style>
  <w:style w:type="paragraph" w:styleId="1102" w:customStyle="1">
    <w:name w:val="纯文本111"/>
    <w:basedOn w:val="973"/>
    <w:qFormat/>
    <w:rPr>
      <w:rFonts w:ascii="宋体" w:hAnsi="Courier New" w:eastAsia="楷体_GB2312" w:cs="Times New Roman"/>
      <w:sz w:val="26"/>
      <w:szCs w:val="20"/>
    </w:rPr>
  </w:style>
  <w:style w:type="paragraph" w:styleId="1103" w:customStyle="1">
    <w:name w:val="xl93"/>
    <w:basedOn w:val="973"/>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104" w:customStyle="1">
    <w:name w:val="_Style 84"/>
    <w:uiPriority w:val="99"/>
    <w:unhideWhenUsed/>
    <w:qFormat/>
    <w:pPr>
      <w:jc w:val="both"/>
      <w:widowControl w:val="off"/>
    </w:pPr>
    <w:rPr>
      <w:rFonts w:ascii="Calibri" w:hAnsi="Calibri" w:eastAsia="楷体_GB2312"/>
      <w:sz w:val="26"/>
    </w:rPr>
  </w:style>
  <w:style w:type="paragraph" w:styleId="1105" w:customStyle="1">
    <w:name w:val="xl71"/>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06" w:customStyle="1">
    <w:name w:val="xl87"/>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107" w:customStyle="1">
    <w:name w:val="Char"/>
    <w:basedOn w:val="973"/>
    <w:qFormat/>
    <w:pPr>
      <w:jc w:val="left"/>
      <w:spacing w:after="160" w:line="240" w:lineRule="exact"/>
      <w:widowControl/>
    </w:pPr>
    <w:rPr>
      <w:rFonts w:ascii="Verdana" w:hAnsi="Verdana" w:eastAsia="仿宋_GB2312" w:cs="Times New Roman"/>
      <w:sz w:val="24"/>
      <w:szCs w:val="20"/>
      <w:lang w:eastAsia="en-US"/>
    </w:rPr>
  </w:style>
  <w:style w:type="paragraph" w:styleId="1108" w:customStyle="1">
    <w:name w:val="xl67"/>
    <w:basedOn w:val="973"/>
    <w:qFormat/>
    <w:pPr>
      <w:jc w:val="left"/>
      <w:spacing w:before="100" w:beforeAutospacing="1" w:after="100" w:afterAutospacing="1"/>
      <w:widowControl/>
    </w:pPr>
    <w:rPr>
      <w:rFonts w:ascii="仿宋_GB2312" w:hAnsi="宋体" w:eastAsia="仿宋_GB2312" w:cs="宋体"/>
      <w:sz w:val="20"/>
      <w:szCs w:val="20"/>
    </w:rPr>
  </w:style>
  <w:style w:type="paragraph" w:styleId="1109" w:customStyle="1">
    <w:name w:val="xl81"/>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10" w:customStyle="1">
    <w:name w:val="xl73"/>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1" w:customStyle="1">
    <w:name w:val="xl68"/>
    <w:basedOn w:val="973"/>
    <w:qFormat/>
    <w:pPr>
      <w:jc w:val="center"/>
      <w:spacing w:before="100" w:beforeAutospacing="1" w:after="100" w:afterAutospacing="1"/>
      <w:widowControl/>
    </w:pPr>
    <w:rPr>
      <w:rFonts w:ascii="仿宋_GB2312" w:hAnsi="宋体" w:eastAsia="仿宋_GB2312" w:cs="宋体"/>
      <w:sz w:val="32"/>
      <w:szCs w:val="32"/>
    </w:rPr>
  </w:style>
  <w:style w:type="paragraph" w:styleId="1112" w:customStyle="1">
    <w:name w:val="正文1"/>
    <w:basedOn w:val="973"/>
    <w:next w:val="973"/>
    <w:qFormat/>
    <w:pPr>
      <w:ind w:left="420" w:firstLine="527"/>
      <w:spacing w:before="120" w:line="360" w:lineRule="auto"/>
    </w:pPr>
    <w:rPr>
      <w:rFonts w:ascii="宋体" w:hAnsi="宋体" w:eastAsia="宋体" w:cs="Times New Roman"/>
      <w:sz w:val="24"/>
      <w:szCs w:val="24"/>
    </w:rPr>
  </w:style>
  <w:style w:type="paragraph" w:styleId="1113" w:customStyle="1">
    <w:name w:val="xl90"/>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4" w:customStyle="1">
    <w:name w:val="xl83"/>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15" w:customStyle="1">
    <w:name w:val="xl76"/>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16" w:customStyle="1">
    <w:name w:val="xl82"/>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17">
    <w:name w:val="List Paragraph"/>
    <w:basedOn w:val="973"/>
    <w:uiPriority w:val="34"/>
    <w:qFormat/>
    <w:pPr>
      <w:ind w:firstLine="420"/>
    </w:pPr>
    <w:rPr>
      <w:rFonts w:ascii="Calibri" w:hAnsi="Calibri" w:eastAsia="楷体_GB2312" w:cs="Times New Roman"/>
      <w:sz w:val="26"/>
      <w:szCs w:val="20"/>
    </w:rPr>
  </w:style>
  <w:style w:type="paragraph" w:styleId="1118" w:customStyle="1">
    <w:name w:val="纯文本5"/>
    <w:basedOn w:val="973"/>
    <w:qFormat/>
    <w:rPr>
      <w:rFonts w:ascii="宋体" w:hAnsi="Courier New" w:eastAsia="楷体_GB2312" w:cs="Times New Roman"/>
      <w:sz w:val="26"/>
      <w:szCs w:val="20"/>
    </w:rPr>
  </w:style>
  <w:style w:type="paragraph" w:styleId="1119" w:customStyle="1">
    <w:name w:val="xl84"/>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20" w:customStyle="1">
    <w:name w:val="xl88"/>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21" w:customStyle="1">
    <w:name w:val="xl75"/>
    <w:basedOn w:val="97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22" w:customStyle="1">
    <w:name w:val="xl97"/>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23" w:customStyle="1">
    <w:name w:val="xl77"/>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24" w:customStyle="1">
    <w:name w:val="xl89"/>
    <w:basedOn w:val="97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25" w:customStyle="1">
    <w:name w:val="Table Grid"/>
    <w:qFormat/>
    <w:rPr>
      <w:rFonts w:ascii="Calibri" w:hAnsi="Calibri"/>
    </w:rPr>
    <w:tblPr>
      <w:tblCellMar>
        <w:left w:w="0" w:type="dxa"/>
        <w:top w:w="0" w:type="dxa"/>
        <w:right w:w="0" w:type="dxa"/>
        <w:bottom w:w="0" w:type="dxa"/>
      </w:tblCellMar>
    </w:tblPr>
  </w:style>
  <w:style w:type="paragraph" w:styleId="1126" w:customStyle="1">
    <w:name w:val="Plain Text1"/>
    <w:basedOn w:val="973"/>
    <w:qFormat/>
    <w:rPr>
      <w:rFonts w:ascii="宋体" w:hAnsi="Courier New" w:eastAsia="楷体_GB2312" w:cs="Times New Roman"/>
      <w:sz w:val="26"/>
      <w:szCs w:val="20"/>
    </w:rPr>
  </w:style>
  <w:style w:type="table" w:styleId="1127" w:customStyle="1">
    <w:name w:val="网格型1"/>
    <w:basedOn w:val="9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8" w:customStyle="1">
    <w:name w:val="正文3"/>
    <w:qFormat/>
    <w:pPr>
      <w:jc w:val="both"/>
      <w:spacing w:line="315" w:lineRule="atLeast"/>
      <w:widowControl w:val="off"/>
    </w:pPr>
    <w:rPr>
      <w:rFonts w:ascii="宋体" w:hAnsi="Calibri"/>
      <w:sz w:val="24"/>
    </w:rPr>
  </w:style>
  <w:style w:type="paragraph" w:styleId="1129" w:customStyle="1">
    <w:name w:val="修订2"/>
    <w:hidden/>
    <w:uiPriority w:val="99"/>
    <w:semiHidden/>
    <w:qFormat/>
    <w:rPr>
      <w:rFonts w:asciiTheme="minorHAnsi" w:hAnsiTheme="minorHAnsi" w:eastAsiaTheme="minorEastAsia" w:cstheme="minorBidi"/>
      <w:sz w:val="21"/>
      <w:szCs w:val="22"/>
    </w:rPr>
  </w:style>
  <w:style w:type="paragraph" w:styleId="1130" w:customStyle="1">
    <w:name w:val="修订3"/>
    <w:hidden/>
    <w:uiPriority w:val="99"/>
    <w:semiHidden/>
    <w:qFormat/>
    <w:rPr>
      <w:rFonts w:asciiTheme="minorHAnsi" w:hAnsiTheme="minorHAnsi" w:eastAsiaTheme="minorEastAsia" w:cstheme="minorBidi"/>
      <w:sz w:val="21"/>
      <w:szCs w:val="22"/>
    </w:rPr>
  </w:style>
  <w:style w:type="paragraph" w:styleId="1131" w:customStyle="1">
    <w:name w:val="纯文本21"/>
    <w:qFormat/>
    <w:pPr>
      <w:jc w:val="both"/>
      <w:widowControl w:val="off"/>
    </w:pPr>
    <w:rPr>
      <w:rFonts w:hint="eastAsia" w:ascii="宋体" w:hAnsi="Courier New" w:eastAsia="楷体_GB2312"/>
      <w:sz w:val="26"/>
    </w:rPr>
  </w:style>
  <w:style w:type="paragraph" w:styleId="1132" w:customStyle="1">
    <w:name w:val="修订4"/>
    <w:hidden/>
    <w:uiPriority w:val="99"/>
    <w:semiHidden/>
    <w:qFormat/>
    <w:rPr>
      <w:rFonts w:asciiTheme="minorHAnsi" w:hAnsiTheme="minorHAnsi" w:eastAsiaTheme="minorEastAsia" w:cstheme="minorBidi"/>
      <w:sz w:val="21"/>
      <w:szCs w:val="22"/>
    </w:rPr>
  </w:style>
  <w:style w:type="paragraph" w:styleId="1133" w:customStyle="1">
    <w:name w:val="修订5"/>
    <w:hidden/>
    <w:uiPriority w:val="99"/>
    <w:semiHidden/>
    <w:qFormat/>
    <w:rPr>
      <w:rFonts w:asciiTheme="minorHAnsi" w:hAnsiTheme="minorHAnsi" w:eastAsiaTheme="minorEastAsia" w:cstheme="minorBidi"/>
      <w:sz w:val="21"/>
      <w:szCs w:val="22"/>
    </w:rPr>
  </w:style>
  <w:style w:type="character" w:styleId="1134" w:customStyle="1">
    <w:name w:val="font81"/>
    <w:basedOn w:val="980"/>
    <w:qFormat/>
    <w:rPr>
      <w:rFonts w:hint="eastAsia" w:ascii="宋体" w:hAnsi="宋体" w:eastAsia="宋体" w:cs="宋体"/>
      <w:color w:val="000000"/>
      <w:sz w:val="18"/>
      <w:szCs w:val="18"/>
      <w:u w:val="none"/>
    </w:rPr>
  </w:style>
  <w:style w:type="character" w:styleId="1135" w:customStyle="1">
    <w:name w:val="font91"/>
    <w:basedOn w:val="980"/>
    <w:qFormat/>
    <w:rPr>
      <w:rFonts w:hint="eastAsia" w:ascii="宋体" w:hAnsi="宋体" w:eastAsia="宋体" w:cs="宋体"/>
      <w:b/>
      <w:bCs/>
      <w:color w:val="ff0000"/>
      <w:sz w:val="18"/>
      <w:szCs w:val="18"/>
      <w:u w:val="none"/>
    </w:rPr>
  </w:style>
  <w:style w:type="character" w:styleId="1136" w:customStyle="1">
    <w:name w:val="font21"/>
    <w:basedOn w:val="980"/>
    <w:qFormat/>
    <w:rPr>
      <w:rFonts w:hint="eastAsia" w:ascii="宋体" w:hAnsi="宋体" w:eastAsia="宋体" w:cs="宋体"/>
      <w:b/>
      <w:bCs/>
      <w:color w:val="000000"/>
      <w:sz w:val="22"/>
      <w:szCs w:val="22"/>
      <w:u w:val="none"/>
    </w:rPr>
  </w:style>
  <w:style w:type="character" w:styleId="1137" w:customStyle="1">
    <w:name w:val="font51"/>
    <w:basedOn w:val="980"/>
    <w:qFormat/>
    <w:rPr>
      <w:rFonts w:hint="eastAsia" w:ascii="宋体" w:hAnsi="宋体" w:eastAsia="宋体" w:cs="宋体"/>
      <w:b/>
      <w:bCs/>
      <w:color w:val="ff0000"/>
      <w:sz w:val="22"/>
      <w:szCs w:val="22"/>
      <w:u w:val="none"/>
    </w:rPr>
  </w:style>
  <w:style w:type="character" w:styleId="1138" w:customStyle="1">
    <w:name w:val="font31"/>
    <w:basedOn w:val="980"/>
    <w:qFormat/>
    <w:rPr>
      <w:rFonts w:hint="eastAsia" w:ascii="宋体" w:hAnsi="宋体" w:eastAsia="宋体" w:cs="宋体"/>
      <w:color w:val="000000"/>
      <w:sz w:val="22"/>
      <w:szCs w:val="22"/>
      <w:u w:val="none"/>
    </w:rPr>
  </w:style>
  <w:style w:type="character" w:styleId="1139" w:customStyle="1">
    <w:name w:val="font61"/>
    <w:basedOn w:val="980"/>
    <w:qFormat/>
    <w:rPr>
      <w:rFonts w:hint="eastAsia" w:ascii="宋体" w:hAnsi="宋体" w:eastAsia="宋体" w:cs="宋体"/>
      <w:color w:val="ff0000"/>
      <w:sz w:val="22"/>
      <w:szCs w:val="22"/>
      <w:u w:val="none"/>
    </w:rPr>
  </w:style>
  <w:style w:type="table" w:styleId="1140" w:customStyle="1">
    <w:name w:val="Table Normal"/>
    <w:unhideWhenUsed/>
    <w:qFormat/>
    <w:tblPr>
      <w:tblCellMar>
        <w:left w:w="0" w:type="dxa"/>
        <w:top w:w="0" w:type="dxa"/>
        <w:right w:w="0" w:type="dxa"/>
        <w:bottom w:w="0" w:type="dxa"/>
      </w:tblCellMar>
    </w:tblPr>
  </w:style>
  <w:style w:type="character" w:styleId="1141" w:customStyle="1">
    <w:name w:val="NormalCharacter"/>
    <w:semiHidden/>
    <w:qFormat/>
  </w:style>
  <w:style w:type="paragraph" w:styleId="1142" w:customStyle="1">
    <w:name w:val="NormalIndent"/>
    <w:basedOn w:val="973"/>
    <w:qFormat/>
    <w:pPr>
      <w:ind w:firstLine="420"/>
      <w:jc w:val="left"/>
      <w:widowControl/>
    </w:pPr>
    <w:rPr>
      <w:sz w:val="24"/>
    </w:rPr>
  </w:style>
  <w:style w:type="paragraph" w:styleId="1143" w:customStyle="1">
    <w:name w:val="正文缩进1"/>
    <w:basedOn w:val="973"/>
    <w:qFormat/>
    <w:pPr>
      <w:ind w:firstLine="420"/>
      <w:jc w:val="left"/>
    </w:pPr>
    <w:rPr>
      <w:sz w:val="24"/>
    </w:rPr>
  </w:style>
  <w:style w:type="paragraph" w:styleId="1144" w:customStyle="1">
    <w:name w:val="Table Text"/>
    <w:basedOn w:val="973"/>
    <w:semiHidden/>
    <w:qFormat/>
    <w:pPr>
      <w:jc w:val="left"/>
      <w:widowControl/>
    </w:pPr>
    <w:rPr>
      <w:rFonts w:ascii="宋体" w:hAnsi="宋体" w:eastAsia="宋体" w:cs="宋体"/>
      <w:color w:val="000000"/>
      <w:sz w:val="19"/>
      <w:szCs w:val="19"/>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hyperlink" Target="https://www.creditchina.gov.cn" TargetMode="External"/><Relationship Id="rId21" Type="http://schemas.openxmlformats.org/officeDocument/2006/relationships/hyperlink" Target="http://jszfcg.jsczt.cn/&#65289;" TargetMode="External"/><Relationship Id="rId22" Type="http://schemas.openxmlformats.org/officeDocument/2006/relationships/hyperlink" Target="http://www.jscredit.gov.cn/" TargetMode="External"/><Relationship Id="rId23" Type="http://schemas.openxmlformats.org/officeDocument/2006/relationships/hyperlink" Target="http://czju.suzhou.gov.cn/zfcg/html/content/20180305093615738.shtml" TargetMode="External"/><Relationship Id="rId2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71C3894-8C9C-472C-977C-241117B74EB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26</cp:revision>
  <dcterms:created xsi:type="dcterms:W3CDTF">2025-11-26T08:08:00Z</dcterms:created>
  <dcterms:modified xsi:type="dcterms:W3CDTF">2025-12-04T06:21:28Z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301F983847A04D5D945EE935812AC096_13</vt:lpwstr>
  </property>
  <property fmtid="{D5CDD505-2E9C-101B-9397-08002B2CF9AE}" pid="4" name="KSOTemplateDocerSaveRecord">
    <vt:lpwstr>eyJoZGlkIjoiOTU3YzIxNGE0ZmI1MTI2YWVmOWViMzRiNTNlOGE2ODQiLCJ1c2VySWQiOiIyMTA4MDg1NTIifQ==</vt:lpwstr>
  </property>
</Properties>
</file>